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A42915" w:rsidRPr="00AB28D9" w14:paraId="7B419335" w14:textId="77777777" w:rsidTr="00A42915">
        <w:tc>
          <w:tcPr>
            <w:tcW w:w="10188" w:type="dxa"/>
          </w:tcPr>
          <w:p w14:paraId="0110C426" w14:textId="77777777" w:rsidR="00A42915" w:rsidRPr="00AB28D9" w:rsidRDefault="009B6FA0" w:rsidP="009B6FA0">
            <w:pPr>
              <w:spacing w:beforeLines="50" w:before="120" w:afterLines="50" w:after="120"/>
              <w:rPr>
                <w:rFonts w:ascii="맑은 고딕" w:eastAsia="맑은 고딕" w:hAnsi="맑은 고딕" w:cs="바탕"/>
                <w:b/>
                <w:sz w:val="40"/>
                <w:szCs w:val="40"/>
                <w:lang w:eastAsia="ko-KR"/>
              </w:rPr>
            </w:pPr>
            <w:r w:rsidRPr="00AB28D9">
              <w:rPr>
                <w:rFonts w:ascii="맑은 고딕" w:eastAsia="맑은 고딕" w:hAnsi="맑은 고딕" w:cs="바탕" w:hint="eastAsia"/>
                <w:b/>
                <w:sz w:val="40"/>
                <w:szCs w:val="40"/>
                <w:lang w:eastAsia="ko-KR"/>
              </w:rPr>
              <w:t>변경대비표</w:t>
            </w:r>
          </w:p>
        </w:tc>
      </w:tr>
      <w:tr w:rsidR="00A42915" w:rsidRPr="00AB28D9" w14:paraId="6AF098DF" w14:textId="77777777" w:rsidTr="00060DF1">
        <w:tc>
          <w:tcPr>
            <w:tcW w:w="10188" w:type="dxa"/>
            <w:tcBorders>
              <w:bottom w:val="single" w:sz="12" w:space="0" w:color="F58220"/>
            </w:tcBorders>
            <w:vAlign w:val="bottom"/>
          </w:tcPr>
          <w:p w14:paraId="1DB95B4F" w14:textId="77777777" w:rsidR="00A42915" w:rsidRPr="00AB28D9" w:rsidRDefault="00A42915" w:rsidP="001351DE">
            <w:pPr>
              <w:spacing w:after="240"/>
              <w:jc w:val="right"/>
              <w:rPr>
                <w:rFonts w:ascii="맑은 고딕" w:eastAsia="맑은 고딕" w:hAnsi="맑은 고딕"/>
                <w:lang w:eastAsia="ko-KR"/>
              </w:rPr>
            </w:pPr>
          </w:p>
        </w:tc>
      </w:tr>
    </w:tbl>
    <w:p w14:paraId="2B25A58A" w14:textId="77777777" w:rsidR="00A42915" w:rsidRPr="00743CBF" w:rsidRDefault="00D9670D" w:rsidP="00D9670D">
      <w:pPr>
        <w:tabs>
          <w:tab w:val="left" w:pos="5640"/>
        </w:tabs>
        <w:spacing w:line="276" w:lineRule="auto"/>
        <w:rPr>
          <w:rFonts w:ascii="맑은 고딕" w:eastAsia="맑은 고딕" w:hAnsi="맑은 고딕"/>
          <w:sz w:val="18"/>
          <w:szCs w:val="18"/>
          <w:lang w:eastAsia="ko-KR"/>
        </w:rPr>
      </w:pPr>
      <w:r w:rsidRPr="00743CBF">
        <w:rPr>
          <w:rFonts w:ascii="맑은 고딕" w:eastAsia="맑은 고딕" w:hAnsi="맑은 고딕"/>
          <w:sz w:val="18"/>
          <w:szCs w:val="18"/>
          <w:lang w:eastAsia="ko-KR"/>
        </w:rPr>
        <w:tab/>
      </w:r>
    </w:p>
    <w:p w14:paraId="247E3A41" w14:textId="763AF004" w:rsidR="00701569" w:rsidRPr="00923A6E" w:rsidRDefault="00AB28D9" w:rsidP="00AB16A9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7B65D9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대상 펀</w:t>
      </w:r>
      <w:r w:rsidRPr="00443EF5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드: </w:t>
      </w:r>
      <w:proofErr w:type="spellStart"/>
      <w:r w:rsidR="002C47BB" w:rsidRPr="002C47BB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미래에셋맵스아시아퍼시픽부동산공모</w:t>
      </w:r>
      <w:proofErr w:type="spellEnd"/>
      <w:r w:rsidR="002C47BB" w:rsidRPr="002C47BB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1호투자회사</w:t>
      </w:r>
    </w:p>
    <w:p w14:paraId="167F5FE6" w14:textId="4C7A4050" w:rsidR="000342E4" w:rsidRDefault="00AB28D9" w:rsidP="004B07B9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84023D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변경 사항: </w:t>
      </w:r>
    </w:p>
    <w:p w14:paraId="31DBFA95" w14:textId="764138C5" w:rsidR="002C47BB" w:rsidRDefault="003F22C7" w:rsidP="002C47BB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투자회사 </w:t>
      </w:r>
      <w:r w:rsidR="002C47BB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명칭 변경</w:t>
      </w:r>
    </w:p>
    <w:p w14:paraId="360B641D" w14:textId="6732A34D" w:rsidR="003F22C7" w:rsidRDefault="003F22C7" w:rsidP="002C47BB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판매수수료 변경</w:t>
      </w:r>
    </w:p>
    <w:p w14:paraId="4459E952" w14:textId="7700AEA5" w:rsidR="003F22C7" w:rsidRDefault="003F22C7" w:rsidP="002C47BB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투자 한도 유예 변경</w:t>
      </w:r>
    </w:p>
    <w:p w14:paraId="505C500D" w14:textId="7E056D87" w:rsidR="003F22C7" w:rsidRDefault="003F22C7" w:rsidP="002C47BB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proofErr w:type="spellStart"/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사업년도</w:t>
      </w:r>
      <w:proofErr w:type="spellEnd"/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변경</w:t>
      </w:r>
    </w:p>
    <w:p w14:paraId="28C667BE" w14:textId="637D6E27" w:rsidR="003F22C7" w:rsidRDefault="003F22C7" w:rsidP="002C47BB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bookmarkStart w:id="0" w:name="_Hlk209444499"/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이익 분배 조항 변경</w:t>
      </w:r>
      <w:bookmarkEnd w:id="0"/>
    </w:p>
    <w:p w14:paraId="2553813F" w14:textId="593D1545" w:rsidR="002C47BB" w:rsidRDefault="002C47BB" w:rsidP="002C47BB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법 개정사항 반영</w:t>
      </w:r>
    </w:p>
    <w:p w14:paraId="067886E7" w14:textId="367E0A59" w:rsidR="003F22C7" w:rsidRDefault="003F22C7" w:rsidP="002C47BB">
      <w:pPr>
        <w:pStyle w:val="a7"/>
        <w:widowControl w:val="0"/>
        <w:numPr>
          <w:ilvl w:val="0"/>
          <w:numId w:val="7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오기 정정</w:t>
      </w:r>
    </w:p>
    <w:p w14:paraId="3B5C630E" w14:textId="7AC4EEE3" w:rsidR="00AB28D9" w:rsidRPr="009F79DE" w:rsidRDefault="002C47BB" w:rsidP="00AB4B97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효력발생예정</w:t>
      </w:r>
      <w:r w:rsidR="00AB28D9" w:rsidRPr="00007D4D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일: </w:t>
      </w:r>
      <w:r w:rsidR="00443D49" w:rsidRPr="009F79DE">
        <w:rPr>
          <w:rFonts w:ascii="맑은 고딕" w:eastAsia="맑은 고딕" w:hAnsi="맑은 고딕"/>
          <w:b/>
          <w:sz w:val="20"/>
          <w:szCs w:val="20"/>
          <w:lang w:eastAsia="ko-KR"/>
        </w:rPr>
        <w:t>202</w:t>
      </w:r>
      <w:r w:rsidR="006C2BB4">
        <w:rPr>
          <w:rFonts w:ascii="맑은 고딕" w:eastAsia="맑은 고딕" w:hAnsi="맑은 고딕"/>
          <w:b/>
          <w:sz w:val="20"/>
          <w:szCs w:val="20"/>
          <w:lang w:eastAsia="ko-KR"/>
        </w:rPr>
        <w:t>5</w:t>
      </w:r>
      <w:r w:rsidR="00443D49" w:rsidRPr="009F79DE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년</w:t>
      </w:r>
      <w:r w:rsidR="00EB4B2A">
        <w:rPr>
          <w:rFonts w:ascii="맑은 고딕" w:eastAsia="맑은 고딕" w:hAnsi="맑은 고딕"/>
          <w:b/>
          <w:sz w:val="20"/>
          <w:szCs w:val="20"/>
          <w:lang w:eastAsia="ko-KR"/>
        </w:rPr>
        <w:t xml:space="preserve"> </w:t>
      </w:r>
      <w:r w:rsidR="00265DB2">
        <w:rPr>
          <w:rFonts w:ascii="맑은 고딕" w:eastAsia="맑은 고딕" w:hAnsi="맑은 고딕"/>
          <w:b/>
          <w:sz w:val="20"/>
          <w:szCs w:val="20"/>
          <w:lang w:eastAsia="ko-KR"/>
        </w:rPr>
        <w:t>0</w:t>
      </w: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9</w:t>
      </w:r>
      <w:r w:rsidR="00AB28D9" w:rsidRPr="009F79DE">
        <w:rPr>
          <w:rFonts w:ascii="맑은 고딕" w:eastAsia="맑은 고딕" w:hAnsi="맑은 고딕"/>
          <w:b/>
          <w:sz w:val="20"/>
          <w:szCs w:val="20"/>
          <w:lang w:eastAsia="ko-KR"/>
        </w:rPr>
        <w:t xml:space="preserve">월 </w:t>
      </w: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30</w:t>
      </w:r>
      <w:r w:rsidR="00442C97" w:rsidRPr="009F79DE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일</w:t>
      </w: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(화)</w:t>
      </w:r>
      <w:r w:rsidR="009C5858" w:rsidRPr="009F79DE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</w:t>
      </w:r>
    </w:p>
    <w:p w14:paraId="56EB2634" w14:textId="499E415D" w:rsidR="00857137" w:rsidRDefault="00AB28D9" w:rsidP="003F22C7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214D68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변경 내용:</w:t>
      </w:r>
      <w:r w:rsidRPr="00214D68" w:rsidDel="00751811">
        <w:rPr>
          <w:rFonts w:ascii="맑은 고딕" w:eastAsia="맑은 고딕" w:hAnsi="맑은 고딕"/>
          <w:b/>
          <w:sz w:val="20"/>
          <w:szCs w:val="20"/>
          <w:lang w:eastAsia="ko-KR"/>
        </w:rPr>
        <w:t xml:space="preserve"> </w:t>
      </w:r>
    </w:p>
    <w:p w14:paraId="22457CB6" w14:textId="2A3B07E4" w:rsidR="003F22C7" w:rsidRDefault="003F22C7" w:rsidP="003F22C7">
      <w:pPr>
        <w:pStyle w:val="a7"/>
        <w:widowControl w:val="0"/>
        <w:numPr>
          <w:ilvl w:val="0"/>
          <w:numId w:val="8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투자회사 명칭 변경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871"/>
        <w:gridCol w:w="3871"/>
      </w:tblGrid>
      <w:tr w:rsidR="006C2BB4" w:rsidRPr="000E2038" w14:paraId="2EAFA1E1" w14:textId="77777777" w:rsidTr="003F22C7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38892EEE" w14:textId="77777777" w:rsidR="006C2BB4" w:rsidRPr="000E2038" w:rsidRDefault="006C2BB4" w:rsidP="003F22C7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01DA3522" w14:textId="77777777" w:rsidR="006C2BB4" w:rsidRPr="000E2038" w:rsidRDefault="006C2BB4" w:rsidP="003F22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2B351692" w14:textId="77777777" w:rsidR="006C2BB4" w:rsidRPr="000E2038" w:rsidRDefault="006C2BB4" w:rsidP="003F22C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7E176F" w:rsidRPr="00265DB2" w14:paraId="73018E51" w14:textId="77777777" w:rsidTr="00874090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F59" w14:textId="47D493DE" w:rsidR="007E176F" w:rsidRPr="003B5874" w:rsidRDefault="003F22C7" w:rsidP="003B5874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3B587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제1조(상호 및 종류)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D79" w14:textId="2E87356F" w:rsidR="003F22C7" w:rsidRPr="003B5874" w:rsidRDefault="003F22C7" w:rsidP="003B587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3B587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이 회사는 </w:t>
            </w:r>
            <w:proofErr w:type="spellStart"/>
            <w:r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미래에셋맵스</w:t>
            </w:r>
            <w:proofErr w:type="spellEnd"/>
            <w:r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 </w:t>
            </w:r>
            <w:proofErr w:type="spellStart"/>
            <w:r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아시아퍼시픽</w:t>
            </w:r>
            <w:proofErr w:type="spellEnd"/>
            <w:r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 부동산공모 1호 투자회사</w:t>
            </w:r>
            <w:r w:rsidRPr="003B587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(이하 "회사"라 한다)라 칭하며, 영문으로는 </w:t>
            </w:r>
            <w:r w:rsidR="003B5874"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M</w:t>
            </w:r>
            <w:r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IRAEASSET MAPS ASIA PACIFIC REAL ESTATE 1 INVESTMENT COMPANY</w:t>
            </w:r>
            <w:r w:rsidRPr="003B587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라 표기한다.</w:t>
            </w:r>
          </w:p>
          <w:p w14:paraId="6783C588" w14:textId="04D11267" w:rsidR="007E176F" w:rsidRPr="00410F79" w:rsidRDefault="003F22C7" w:rsidP="003B587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3F22C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②회사는 자본시장과 금융투자업에 관한 법률(이하 “법” 이라 한다) 제229조제2호의 규정에 의한 부동산집합투자기구로서 동 집합투자기구에 투자한 주주는 </w:t>
            </w:r>
            <w:r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아시아태평양 지역</w:t>
            </w:r>
            <w:r w:rsidRPr="003F22C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의 부동산 등에 직접 투자하는 위험과 유사한 위험을 부담할 수 있으며, 부동산 등은 시중 실세금리 및 다양한 경제변수에 연동되어 수익이 변동되는 특성을 가지고 있다.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5B6" w14:textId="72C2C0BB" w:rsidR="003F22C7" w:rsidRPr="003F22C7" w:rsidRDefault="003F22C7" w:rsidP="003B587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3F22C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①이 회사는 </w:t>
            </w:r>
            <w:proofErr w:type="spellStart"/>
            <w:r w:rsidRPr="003F22C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미래에셋맵스리얼티부동산공모투자회사</w:t>
            </w:r>
            <w:proofErr w:type="spellEnd"/>
            <w:r w:rsidRPr="003F22C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(이하 "회사"라 한다)라 칭하며, 영문으로는 </w:t>
            </w:r>
            <w:r w:rsidRPr="003F22C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MIRAEASSET MAPS REALTY INVESTMENT COMPANY</w:t>
            </w:r>
            <w:r w:rsidRPr="003F22C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라 표기한다.</w:t>
            </w:r>
          </w:p>
          <w:p w14:paraId="453DE832" w14:textId="5B1A1108" w:rsidR="007E176F" w:rsidRPr="00EB4B2A" w:rsidRDefault="003F22C7" w:rsidP="003B587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3F22C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②회사는 자본시장과 금융투자업에 관한 법률(이하 “법” 이라 한다) 제229조제2호의 규정에 의한 부동산집합투자기구로서 동 집합투자기구에 투자한 주주는 </w:t>
            </w:r>
            <w:r w:rsidRPr="003B587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국내외</w:t>
            </w:r>
            <w:r w:rsidRPr="003F22C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부동산 등에 직접 투자하는 위험과 유사한 위험을 부담할 수 있으며, 부동산 등은 시중 실세금리 및 다양한 경제변수에 연동되어 수익이 변동되는 특성을 가지고 있다.</w:t>
            </w:r>
          </w:p>
        </w:tc>
      </w:tr>
    </w:tbl>
    <w:p w14:paraId="43B588D3" w14:textId="1E790F67" w:rsidR="00D37E57" w:rsidRPr="00D37E57" w:rsidRDefault="00D37E57" w:rsidP="00F9100F">
      <w:pPr>
        <w:pStyle w:val="a7"/>
        <w:widowControl w:val="0"/>
        <w:numPr>
          <w:ilvl w:val="0"/>
          <w:numId w:val="8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판매수수료 변경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871"/>
        <w:gridCol w:w="3871"/>
      </w:tblGrid>
      <w:tr w:rsidR="00D37E57" w:rsidRPr="000E2038" w14:paraId="6B36492F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444477BF" w14:textId="77777777" w:rsidR="00D37E57" w:rsidRPr="000E2038" w:rsidRDefault="00D37E57" w:rsidP="001A2155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lastRenderedPageBreak/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11B2A5FE" w14:textId="77777777" w:rsidR="00D37E57" w:rsidRPr="000E2038" w:rsidRDefault="00D37E57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0D96BF51" w14:textId="77777777" w:rsidR="00D37E57" w:rsidRPr="000E2038" w:rsidRDefault="00D37E57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D37E57" w:rsidRPr="00265DB2" w14:paraId="2354D23F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A36" w14:textId="5B5B7573" w:rsidR="00D37E57" w:rsidRPr="00EA1FB0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D37E57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제19조(판매수수료)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085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①판매회사는 주식의 판매 및 청약취급 행위에 대한 대가로 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주금을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 납입하는 시점에 주주로부터 선취판매수수료를 취득한다.</w:t>
            </w:r>
          </w:p>
          <w:p w14:paraId="79B37E37" w14:textId="02B85379" w:rsidR="00D37E57" w:rsidRPr="00E85931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②선취판매수수료는 납입금액(주식의 발행가격에 납입하는 주수를 곱한 금액)의 100분의 1.5로 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0DFE" w14:textId="0ACC76CC" w:rsidR="00D37E57" w:rsidRPr="00D37E57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bookmarkStart w:id="1" w:name="_Hlk209443198"/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판매회사는 주식의 판매 및 청약취급 행위에 따른 판매수수료를 취득하지 않는다.</w:t>
            </w:r>
            <w:bookmarkEnd w:id="1"/>
          </w:p>
        </w:tc>
      </w:tr>
    </w:tbl>
    <w:p w14:paraId="359DDAD5" w14:textId="77777777" w:rsidR="00D37E57" w:rsidRPr="00D37E57" w:rsidRDefault="00D37E57" w:rsidP="00F9100F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</w:p>
    <w:p w14:paraId="7DFC555F" w14:textId="712BCBA1" w:rsidR="00D37E57" w:rsidRPr="00D37E57" w:rsidRDefault="00D37E57" w:rsidP="00D37E57">
      <w:pPr>
        <w:pStyle w:val="a7"/>
        <w:widowControl w:val="0"/>
        <w:numPr>
          <w:ilvl w:val="0"/>
          <w:numId w:val="8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투자 한도 유예 변경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871"/>
        <w:gridCol w:w="3871"/>
      </w:tblGrid>
      <w:tr w:rsidR="00D37E57" w:rsidRPr="000E2038" w14:paraId="66CD8CD4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5464279B" w14:textId="77777777" w:rsidR="00D37E57" w:rsidRPr="000E2038" w:rsidRDefault="00D37E57" w:rsidP="001A2155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21503629" w14:textId="77777777" w:rsidR="00D37E57" w:rsidRPr="000E2038" w:rsidRDefault="00D37E57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1D3A7600" w14:textId="77777777" w:rsidR="00D37E57" w:rsidRPr="000E2038" w:rsidRDefault="00D37E57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D37E57" w:rsidRPr="00265DB2" w14:paraId="40EF70A4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F02" w14:textId="7F8F256D" w:rsidR="00D37E57" w:rsidRPr="00EA1FB0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D37E57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제53조(투자한도)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536" w14:textId="77777777" w:rsidR="00D37E57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②제1항제1호 내지 제</w:t>
            </w: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5</w:t>
            </w:r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호의 규정에 불구하고 다음 각 호의 1의 기간 또는 사유에 해당하는 경우에는 그 투자한도를 적용하지 아니한다. 다만, 다음</w:t>
            </w: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 제3호 및 제4호의 사유에 해당하는 경우에는 투자비율을 위반한 날부터 15일 이내에 그 투자한도에 적합하도록 하여야 한다.</w:t>
            </w:r>
          </w:p>
          <w:p w14:paraId="35D130F1" w14:textId="77777777" w:rsidR="00D37E57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</w:p>
          <w:p w14:paraId="3E6FD04E" w14:textId="77777777" w:rsidR="00D37E57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</w:p>
          <w:p w14:paraId="0B8C1A84" w14:textId="7BDD9DB2" w:rsid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&lt;</w:t>
            </w: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신설</w:t>
            </w:r>
            <w:r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&gt;</w:t>
            </w:r>
          </w:p>
          <w:p w14:paraId="5AF37516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</w:p>
          <w:p w14:paraId="18E1F021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3. </w:t>
            </w:r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영업일 동안 누적하여 신주발행 또는 주식의 일부소각이 각각 회사 자산총액의 10%를 초과하는 경우</w:t>
            </w:r>
          </w:p>
          <w:p w14:paraId="2EC5E1FA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4. </w:t>
            </w:r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회사자산인 증권 등의 가격변동으로 제1항제1호 내지 제6호의 규정을 위반하게 되는 경우</w:t>
            </w:r>
          </w:p>
          <w:p w14:paraId="44EAF67D" w14:textId="0E06FD91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&lt;</w:t>
            </w: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신설</w:t>
            </w:r>
            <w:r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&gt;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376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②제1항제1호 내지 제</w:t>
            </w:r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6</w:t>
            </w:r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호의 규정에 불구하고 다음 각 호의 1의 기간 또는 사유에 해당하는 경우에는 그 투자한도를 적용하지 아니한다. 다만, 다음</w:t>
            </w:r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 xml:space="preserve"> 제3호의 사유에 해당하는 경우에는 투자비율을 위반한 날부터 3개월 이내에, 제4호 내지 제6호의 사유에 해당하는 경우에는 투자비율을 위반한 날부터 15일 이내에 그 투자한도에 적합하도록 하여야 한다.</w:t>
            </w:r>
          </w:p>
          <w:p w14:paraId="54CAC944" w14:textId="2DEB4A44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 xml:space="preserve">3. 제1항제1호에 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투자·운용함에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 xml:space="preserve"> 있어 투자대상자산의 매각으로 인한 경우</w:t>
            </w:r>
          </w:p>
          <w:p w14:paraId="029826C6" w14:textId="0C00E4EF" w:rsid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 xml:space="preserve">4. </w:t>
            </w:r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&lt;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좌동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&gt;</w:t>
            </w:r>
          </w:p>
          <w:p w14:paraId="487A3AC1" w14:textId="77777777" w:rsid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</w:p>
          <w:p w14:paraId="1A005F50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</w:p>
          <w:p w14:paraId="22143114" w14:textId="7D15BD6C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5.</w:t>
            </w:r>
            <w:r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</w:t>
            </w:r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&lt;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좌동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&gt;</w:t>
            </w:r>
          </w:p>
          <w:p w14:paraId="2F08C269" w14:textId="77777777" w:rsid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</w:p>
          <w:p w14:paraId="72C92579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</w:p>
          <w:p w14:paraId="04FEE04C" w14:textId="7BAB9A1D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6. 그 밖에 투자대상자산의 추가 취득 없이 투자한도를 초과 또는 미달하게 된 경우</w:t>
            </w:r>
          </w:p>
        </w:tc>
      </w:tr>
    </w:tbl>
    <w:p w14:paraId="67901B7D" w14:textId="77777777" w:rsidR="00D37E57" w:rsidRPr="00D37E57" w:rsidRDefault="00D37E57" w:rsidP="00F9100F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</w:p>
    <w:p w14:paraId="2F273C21" w14:textId="77777777" w:rsidR="00E17379" w:rsidRDefault="00E17379" w:rsidP="00E17379">
      <w:pPr>
        <w:pStyle w:val="a7"/>
        <w:widowControl w:val="0"/>
        <w:numPr>
          <w:ilvl w:val="0"/>
          <w:numId w:val="8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proofErr w:type="spellStart"/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사업년도</w:t>
      </w:r>
      <w:proofErr w:type="spellEnd"/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변경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871"/>
        <w:gridCol w:w="3871"/>
      </w:tblGrid>
      <w:tr w:rsidR="00E17379" w:rsidRPr="000E2038" w14:paraId="39F8C9AE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7FAC58B2" w14:textId="77777777" w:rsidR="00E17379" w:rsidRPr="000E2038" w:rsidRDefault="00E17379" w:rsidP="001A2155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11D3ACA9" w14:textId="77777777" w:rsidR="00E17379" w:rsidRPr="000E2038" w:rsidRDefault="00E17379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00939CF3" w14:textId="77777777" w:rsidR="00E17379" w:rsidRPr="000E2038" w:rsidRDefault="00E17379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E17379" w:rsidRPr="00265DB2" w14:paraId="0F3C24CD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2EB" w14:textId="00C22C86" w:rsidR="00E17379" w:rsidRPr="00EA1FB0" w:rsidRDefault="00E17379" w:rsidP="001A215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E1737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제61조(</w:t>
            </w:r>
            <w:proofErr w:type="spellStart"/>
            <w:r w:rsidRPr="00E1737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사업년도</w:t>
            </w:r>
            <w:proofErr w:type="spellEnd"/>
            <w:r w:rsidRPr="00E17379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062" w14:textId="4B496955" w:rsidR="00E17379" w:rsidRPr="00E17379" w:rsidRDefault="00E17379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회사의 최초 </w:t>
            </w:r>
            <w:proofErr w:type="spellStart"/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사업년도는</w:t>
            </w:r>
            <w:proofErr w:type="spellEnd"/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회사 설립일로부터 동년 12월 31일까지로 하며, 이후 </w:t>
            </w:r>
            <w:proofErr w:type="spellStart"/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사업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lastRenderedPageBreak/>
              <w:t>년도는</w:t>
            </w:r>
            <w:proofErr w:type="spellEnd"/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매년 1월 1일부터 12월 31일까지로 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E2B" w14:textId="3586DB39" w:rsidR="00E17379" w:rsidRPr="00D37E57" w:rsidRDefault="00E17379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E17379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lastRenderedPageBreak/>
              <w:t xml:space="preserve">회사의 최초 </w:t>
            </w:r>
            <w:proofErr w:type="spellStart"/>
            <w:r w:rsidRPr="00E17379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사업년도는</w:t>
            </w:r>
            <w:proofErr w:type="spellEnd"/>
            <w:r w:rsidRPr="00E17379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회사 설립일로부터 동년 12월 31일까지로 하며, 이후 </w:t>
            </w:r>
            <w:proofErr w:type="spellStart"/>
            <w:r w:rsidRPr="00E17379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사업</w:t>
            </w:r>
            <w:r w:rsidRPr="00E17379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lastRenderedPageBreak/>
              <w:t>년도는</w:t>
            </w:r>
            <w:proofErr w:type="spellEnd"/>
            <w:r w:rsidRPr="00E17379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매년 1월 1일부터 12월 31일까지로 한다.</w:t>
            </w:r>
            <w:r w:rsidRPr="00E17379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 xml:space="preserve"> 다만, 2025년 12월 31일 이후 사업연도는 매년 1월 1일 개시하여 6월 30일에 종료하고, 7월 1일에 개시하여 다음 12월 31일 종료한다.</w:t>
            </w:r>
          </w:p>
        </w:tc>
      </w:tr>
    </w:tbl>
    <w:p w14:paraId="05BB5018" w14:textId="77777777" w:rsidR="00D37E57" w:rsidRDefault="00D37E57" w:rsidP="00F9100F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</w:p>
    <w:p w14:paraId="0DB430AE" w14:textId="740A142D" w:rsidR="00C94914" w:rsidRDefault="00C94914" w:rsidP="00C94914">
      <w:pPr>
        <w:pStyle w:val="a7"/>
        <w:widowControl w:val="0"/>
        <w:numPr>
          <w:ilvl w:val="0"/>
          <w:numId w:val="8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C94914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이익 분배 조항 변경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871"/>
        <w:gridCol w:w="3871"/>
      </w:tblGrid>
      <w:tr w:rsidR="00C94914" w:rsidRPr="000E2038" w14:paraId="309881BD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54BC443F" w14:textId="77777777" w:rsidR="00C94914" w:rsidRPr="000E2038" w:rsidRDefault="00C94914" w:rsidP="001A2155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55931833" w14:textId="77777777" w:rsidR="00C94914" w:rsidRPr="000E2038" w:rsidRDefault="00C94914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07144B46" w14:textId="77777777" w:rsidR="00C94914" w:rsidRPr="000E2038" w:rsidRDefault="00C94914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C94914" w:rsidRPr="00265DB2" w14:paraId="7C563CEC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A2C" w14:textId="46ED48A7" w:rsidR="00C94914" w:rsidRPr="00EA1FB0" w:rsidRDefault="00C94914" w:rsidP="001A215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C9491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제67조(이익분배 등)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2403" w14:textId="56921F01" w:rsidR="00C94914" w:rsidRPr="00C94914" w:rsidRDefault="00C94914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①회사는 이익금의 범위내에서 주주에게 현금 또는 새로이 발행하는 주식으로 분배하 여야 한다. 다만, 법 제242조에 따른 이익금이 0보다 적은 경우에는 분배를 유보</w:t>
            </w:r>
            <w:r w:rsidRPr="00C9491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B65" w14:textId="614D998F" w:rsidR="00C94914" w:rsidRPr="00D37E57" w:rsidRDefault="00C94914" w:rsidP="001A215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①회사는 이익금의 범위내에서 주주에게 현금 또는 새로이 발행하는 주식으로 분배하 여야 한다. 다만, 법 제242조에 따른 이익금이 0보다 적은 경우에는 분배를 유보</w:t>
            </w:r>
            <w:r w:rsidRPr="00C94914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할 수 있다.</w:t>
            </w:r>
          </w:p>
        </w:tc>
      </w:tr>
    </w:tbl>
    <w:p w14:paraId="19738B3E" w14:textId="77777777" w:rsidR="00C94914" w:rsidRPr="00C94914" w:rsidRDefault="00C94914" w:rsidP="00F9100F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</w:p>
    <w:p w14:paraId="35A4C8B2" w14:textId="40697AD4" w:rsidR="00C94914" w:rsidRPr="00E17379" w:rsidRDefault="00C94914" w:rsidP="00C94914">
      <w:pPr>
        <w:pStyle w:val="a7"/>
        <w:widowControl w:val="0"/>
        <w:numPr>
          <w:ilvl w:val="0"/>
          <w:numId w:val="8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법 개정사항 반영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3569"/>
        <w:gridCol w:w="4314"/>
      </w:tblGrid>
      <w:tr w:rsidR="003B5874" w:rsidRPr="000E2038" w14:paraId="6BFEB7D1" w14:textId="77777777" w:rsidTr="00E85931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7EC7F7E2" w14:textId="77777777" w:rsidR="003B5874" w:rsidRPr="000E2038" w:rsidRDefault="003B5874" w:rsidP="003B5874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587D9615" w14:textId="77777777" w:rsidR="003B5874" w:rsidRPr="000E2038" w:rsidRDefault="003B5874" w:rsidP="003B587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64F37C91" w14:textId="77777777" w:rsidR="003B5874" w:rsidRPr="000E2038" w:rsidRDefault="003B5874" w:rsidP="003B587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4D0673" w:rsidRPr="00265DB2" w14:paraId="5A0F5013" w14:textId="77777777" w:rsidTr="00E85931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FCA" w14:textId="5E24C9FD" w:rsidR="004D0673" w:rsidRPr="003B5874" w:rsidRDefault="004D0673" w:rsidP="004D0673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</w:pPr>
            <w:r w:rsidRPr="003B587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제5조(공고방법)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902" w14:textId="4465E765" w:rsidR="004D0673" w:rsidRPr="00E85931" w:rsidRDefault="004D0673" w:rsidP="004D0673">
            <w:pPr>
              <w:pStyle w:val="Default"/>
              <w:wordWrap w:val="0"/>
              <w:jc w:val="both"/>
              <w:rPr>
                <w:rFonts w:hAnsi="맑은 고딕" w:hint="eastAsia"/>
                <w:sz w:val="20"/>
                <w:szCs w:val="20"/>
                <w:lang w:eastAsia="ko-KR"/>
              </w:rPr>
            </w:pPr>
            <w:r w:rsidRPr="003B5874">
              <w:rPr>
                <w:rFonts w:hAnsi="맑은 고딕" w:cs="Arial" w:hint="eastAsia"/>
                <w:bCs/>
                <w:kern w:val="2"/>
                <w:sz w:val="20"/>
                <w:lang w:eastAsia="ko-KR"/>
              </w:rPr>
              <w:t>회사의 공고는 전국을 보급지역으로 하고 서울특별시에서 발행되는 매일경제신문에 게재하는 것을 원칙으로 하되, 2 이상 신문의 공고가 필요한 경우에는 한국경제신문에 추가로 게재한다.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64A" w14:textId="146AEA88" w:rsidR="004D0673" w:rsidRPr="00E85931" w:rsidRDefault="004D0673" w:rsidP="004D0673">
            <w:pPr>
              <w:pStyle w:val="Default"/>
              <w:wordWrap w:val="0"/>
              <w:jc w:val="both"/>
              <w:rPr>
                <w:rFonts w:hAnsi="맑은 고딕" w:hint="eastAsia"/>
                <w:sz w:val="20"/>
                <w:szCs w:val="20"/>
                <w:lang w:eastAsia="ko-KR"/>
              </w:rPr>
            </w:pPr>
            <w:r w:rsidRPr="003B5874">
              <w:rPr>
                <w:rFonts w:hAnsi="맑은 고딕" w:cs="Arial" w:hint="eastAsia"/>
                <w:b/>
                <w:kern w:val="2"/>
                <w:sz w:val="20"/>
                <w:u w:val="single"/>
                <w:lang w:eastAsia="ko-KR"/>
              </w:rPr>
              <w:t>회사의 공고는 회사의 인터넷 홈페이지(https://re1.miraeasset.com/main/intro.do)에 게재한다. 다만, 전산장애 그 밖에 부득이한 사유로 회사의 인터넷 홈페이지에 공고를 할 수 없을 때에는 전국을 보급지역으로 하고 서울특별시에서 발행되는 매일경제신문에 게재하는 것을 원칙으로 하되, 2 이상 신문의 공고가 필요한 경우에는 한국경제신문에 추가로 게재한다.</w:t>
            </w:r>
          </w:p>
        </w:tc>
      </w:tr>
      <w:tr w:rsidR="003B5874" w:rsidRPr="00265DB2" w14:paraId="6BF6841C" w14:textId="77777777" w:rsidTr="00E85931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168" w14:textId="3C0D6F68" w:rsidR="003B5874" w:rsidRPr="00EA1FB0" w:rsidRDefault="003B5874" w:rsidP="003B587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3B587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제18조(신주의 발행 등)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C3A" w14:textId="0155AF5C" w:rsidR="00E85931" w:rsidRPr="00E85931" w:rsidRDefault="00E85931" w:rsidP="00E85931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</w:rPr>
            </w:pPr>
            <w:r w:rsidRPr="00E85931">
              <w:rPr>
                <w:rFonts w:hAnsi="맑은 고딕" w:hint="eastAsia"/>
                <w:sz w:val="20"/>
                <w:szCs w:val="20"/>
              </w:rPr>
              <w:t>①</w:t>
            </w:r>
            <w:r w:rsidRPr="00E85931">
              <w:rPr>
                <w:rFonts w:hAnsi="맑은 고딕"/>
                <w:sz w:val="20"/>
                <w:szCs w:val="20"/>
              </w:rPr>
              <w:t xml:space="preserve"> </w:t>
            </w:r>
            <w:r w:rsidR="002C38B8">
              <w:rPr>
                <w:rFonts w:hAnsi="맑은 고딕" w:hint="eastAsia"/>
                <w:sz w:val="20"/>
                <w:szCs w:val="20"/>
                <w:lang w:eastAsia="ko-KR"/>
              </w:rPr>
              <w:t>(</w:t>
            </w:r>
            <w:proofErr w:type="spellStart"/>
            <w:r w:rsidRPr="00E85931">
              <w:rPr>
                <w:rFonts w:hAnsi="맑은 고딕" w:hint="eastAsia"/>
                <w:sz w:val="20"/>
                <w:szCs w:val="20"/>
              </w:rPr>
              <w:t>생략</w:t>
            </w:r>
            <w:proofErr w:type="spellEnd"/>
            <w:r w:rsidR="002C38B8">
              <w:rPr>
                <w:rFonts w:hAnsi="맑은 고딕" w:hint="eastAsia"/>
                <w:sz w:val="20"/>
                <w:szCs w:val="20"/>
                <w:lang w:eastAsia="ko-KR"/>
              </w:rPr>
              <w:t>)</w:t>
            </w:r>
            <w:r w:rsidRPr="00E85931">
              <w:rPr>
                <w:rFonts w:hAnsi="맑은 고딕"/>
                <w:sz w:val="20"/>
                <w:szCs w:val="20"/>
              </w:rPr>
              <w:t xml:space="preserve"> </w:t>
            </w:r>
          </w:p>
          <w:p w14:paraId="6B48AC95" w14:textId="4FA9D552" w:rsidR="003B5874" w:rsidRPr="00E85931" w:rsidRDefault="00E85931" w:rsidP="00E8593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&lt;</w:t>
            </w:r>
            <w:proofErr w:type="spellStart"/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</w:rPr>
              <w:t>신설</w:t>
            </w:r>
            <w:proofErr w:type="spellEnd"/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&gt;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C98" w14:textId="3FE3D0EC" w:rsidR="00E85931" w:rsidRPr="00E85931" w:rsidRDefault="00E85931" w:rsidP="00E85931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  <w:r w:rsidRPr="00E85931">
              <w:rPr>
                <w:rFonts w:hAnsi="맑은 고딕" w:hint="eastAsia"/>
                <w:sz w:val="20"/>
                <w:szCs w:val="20"/>
                <w:lang w:eastAsia="ko-KR"/>
              </w:rPr>
              <w:t>①</w:t>
            </w:r>
            <w:r w:rsidRPr="00E85931">
              <w:rPr>
                <w:rFonts w:hAnsi="맑은 고딕"/>
                <w:sz w:val="20"/>
                <w:szCs w:val="20"/>
                <w:lang w:eastAsia="ko-KR"/>
              </w:rPr>
              <w:t xml:space="preserve"> </w:t>
            </w:r>
            <w:r w:rsidR="002C38B8">
              <w:rPr>
                <w:rFonts w:hAnsi="맑은 고딕" w:hint="eastAsia"/>
                <w:sz w:val="20"/>
                <w:szCs w:val="20"/>
                <w:lang w:eastAsia="ko-KR"/>
              </w:rPr>
              <w:t>(</w:t>
            </w:r>
            <w:r w:rsidRPr="00E85931">
              <w:rPr>
                <w:rFonts w:hAnsi="맑은 고딕" w:hint="eastAsia"/>
                <w:sz w:val="20"/>
                <w:szCs w:val="20"/>
                <w:lang w:eastAsia="ko-KR"/>
              </w:rPr>
              <w:t>생략</w:t>
            </w:r>
            <w:r w:rsidR="002C38B8">
              <w:rPr>
                <w:rFonts w:hAnsi="맑은 고딕" w:hint="eastAsia"/>
                <w:sz w:val="20"/>
                <w:szCs w:val="20"/>
                <w:lang w:eastAsia="ko-KR"/>
              </w:rPr>
              <w:t>)</w:t>
            </w:r>
            <w:r w:rsidRPr="00E85931">
              <w:rPr>
                <w:rFonts w:hAnsi="맑은 고딕"/>
                <w:sz w:val="20"/>
                <w:szCs w:val="20"/>
                <w:lang w:eastAsia="ko-KR"/>
              </w:rPr>
              <w:t xml:space="preserve"> </w:t>
            </w:r>
          </w:p>
          <w:p w14:paraId="707C8718" w14:textId="4FF135C7" w:rsidR="00E85931" w:rsidRPr="00E85931" w:rsidRDefault="00E85931" w:rsidP="00E85931">
            <w:pPr>
              <w:pStyle w:val="Default"/>
              <w:wordWrap w:val="0"/>
              <w:jc w:val="both"/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</w:pP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>3.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기존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투자자에게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집합투자증권의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보유비율에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따라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추가로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발행되는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집합투자증권의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우선매수기회를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부여하는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경우</w:t>
            </w:r>
            <w:r w:rsidRPr="00E85931">
              <w:rPr>
                <w:rFonts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</w:p>
          <w:p w14:paraId="5E11CD1C" w14:textId="61F33E00" w:rsidR="003B5874" w:rsidRPr="00E85931" w:rsidRDefault="00E85931" w:rsidP="00E8593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4.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위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제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>3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호에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따라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기존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투자자에게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집합투자증권의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우선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매수기회를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부여하였으나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매수되지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아니한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집합투자증권이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있어서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기존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투자자가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아닌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제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>3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자에게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매수기회를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부여하는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E85931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경우</w:t>
            </w:r>
            <w:r w:rsidRPr="00E85931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2C38B8" w:rsidRPr="00265DB2" w14:paraId="74372A87" w14:textId="77777777" w:rsidTr="00E85931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DF65" w14:textId="5EF99A6A" w:rsidR="002C38B8" w:rsidRPr="003B5874" w:rsidRDefault="002C38B8" w:rsidP="003B587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2C38B8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제56조(</w:t>
            </w:r>
            <w:proofErr w:type="spellStart"/>
            <w:r w:rsidRPr="002C38B8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자산운용지시등</w:t>
            </w:r>
            <w:proofErr w:type="spellEnd"/>
            <w:r w:rsidRPr="002C38B8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1CB5" w14:textId="007EE395" w:rsidR="002C38B8" w:rsidRPr="002C38B8" w:rsidRDefault="002C38B8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>①</w:t>
            </w:r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회사</w:t>
            </w: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는 회사재산을 운용함에 있어 </w:t>
            </w:r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신탁업자에 대하여 자산의 </w:t>
            </w:r>
            <w:proofErr w:type="spellStart"/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취득·매각등에</w:t>
            </w:r>
            <w:proofErr w:type="spellEnd"/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관하여</w:t>
            </w: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 필요한 지시를 하여야 한다.</w:t>
            </w:r>
          </w:p>
          <w:p w14:paraId="19E4FD8D" w14:textId="77777777" w:rsidR="002C38B8" w:rsidRDefault="002C38B8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</w:p>
          <w:p w14:paraId="244D88D1" w14:textId="77777777" w:rsidR="002C38B8" w:rsidRDefault="002C38B8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</w:p>
          <w:p w14:paraId="39ED6C58" w14:textId="77777777" w:rsidR="002C38B8" w:rsidRDefault="002C38B8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</w:p>
          <w:p w14:paraId="0CBBE2D6" w14:textId="4D8672C2" w:rsidR="002C38B8" w:rsidRPr="00E85931" w:rsidRDefault="002C38B8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②신탁업자는 </w:t>
            </w:r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회사자산의 운용에 관한 회사의 운용지시를 이행한 후 그 지시가</w:t>
            </w: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 법령, 규정 및 이 정관에서 정하는 자산운용대상 및 방법, 투자한도, 자산운용제한, </w:t>
            </w:r>
            <w:proofErr w:type="spellStart"/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>자산운용지시등</w:t>
            </w:r>
            <w:proofErr w:type="spellEnd"/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 자산운용상 금지행위 및 이해관계인과의 거래제한에 관한 사항을 위반하는지 여부를 확인하고 위반이 있는 경우에는 회사의 감독이사에게 보고하여야 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EC71" w14:textId="77777777" w:rsidR="002C38B8" w:rsidRPr="002C38B8" w:rsidRDefault="002C38B8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lastRenderedPageBreak/>
              <w:t>①</w:t>
            </w:r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법인이사</w:t>
            </w: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는 회사재산을 운용함에 있어 </w:t>
            </w:r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회사의 명의로 법인이사가 회사를 대표한다는 사실을 표시하여 자산의 </w:t>
            </w:r>
            <w:proofErr w:type="spellStart"/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취득·처분등을</w:t>
            </w:r>
            <w:proofErr w:type="spellEnd"/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하고, 신탁업자에게 </w:t>
            </w:r>
            <w:proofErr w:type="spellStart"/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취득·처분등을</w:t>
            </w:r>
            <w:proofErr w:type="spellEnd"/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한 자산의 </w:t>
            </w:r>
            <w:proofErr w:type="spellStart"/>
            <w:r w:rsidRPr="002C38B8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보관·관리에</w:t>
            </w:r>
            <w:proofErr w:type="spellEnd"/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 필요한 지시를 하여야 한다.</w:t>
            </w:r>
          </w:p>
          <w:p w14:paraId="1EF9E79D" w14:textId="6449699D" w:rsidR="002C38B8" w:rsidRPr="00E85931" w:rsidRDefault="002C38B8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lastRenderedPageBreak/>
              <w:t xml:space="preserve">②신탁업자는 </w:t>
            </w:r>
            <w:r w:rsidRPr="00E17379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집합투자업자의 운용행위가</w:t>
            </w: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 법령, 규정 및 이 정관에서 정하는 자산운용대상 및 방법, 투자한도, 자산운용제한, </w:t>
            </w:r>
            <w:proofErr w:type="spellStart"/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>자산운용지시등</w:t>
            </w:r>
            <w:proofErr w:type="spellEnd"/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 xml:space="preserve"> 자산운용상 금지행위 및 이해관계인과의 거래제한에 관한 사항 </w:t>
            </w:r>
            <w:r w:rsidRPr="00E17379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또는 투자설명서 등</w:t>
            </w:r>
            <w:r w:rsidRPr="002C38B8">
              <w:rPr>
                <w:rFonts w:hAnsi="맑은 고딕" w:hint="eastAsia"/>
                <w:sz w:val="20"/>
                <w:szCs w:val="20"/>
                <w:lang w:eastAsia="ko-KR"/>
              </w:rPr>
              <w:t>을 위반하는지 여부를 확인하고 위반이 있는 경우에는 회사의 감독이사에게 보고하여야 한다.</w:t>
            </w:r>
          </w:p>
        </w:tc>
      </w:tr>
      <w:tr w:rsidR="00C94914" w:rsidRPr="00265DB2" w14:paraId="42EAE43B" w14:textId="77777777" w:rsidTr="00E85931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899" w14:textId="15F09B0A" w:rsidR="00C94914" w:rsidRPr="002C38B8" w:rsidRDefault="00C94914" w:rsidP="003B587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C94914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lastRenderedPageBreak/>
              <w:t>제71조(정관의 변경)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51E" w14:textId="25C57CA9" w:rsidR="00C94914" w:rsidRPr="00C94914" w:rsidRDefault="00C94914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  <w:r w:rsidRPr="00C94914">
              <w:rPr>
                <w:rFonts w:hAnsi="맑은 고딕" w:hint="eastAsia"/>
                <w:sz w:val="20"/>
                <w:szCs w:val="20"/>
                <w:lang w:eastAsia="ko-KR"/>
              </w:rPr>
              <w:t>① 본 정관의 내용 중 다음 각 호의 1에 해당하는 사항의 변경은 법 제201조제2항</w:t>
            </w:r>
            <w:r w:rsidRPr="00C94914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단서</w:t>
            </w:r>
            <w:r w:rsidRPr="00C94914">
              <w:rPr>
                <w:rFonts w:hAnsi="맑은 고딕" w:hint="eastAsia"/>
                <w:sz w:val="20"/>
                <w:szCs w:val="20"/>
                <w:lang w:eastAsia="ko-KR"/>
              </w:rPr>
              <w:t>에 따른 주주총회의 결의에 의하여야 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A27" w14:textId="3CC2564B" w:rsidR="00C94914" w:rsidRPr="00C94914" w:rsidRDefault="00C94914" w:rsidP="002C38B8">
            <w:pPr>
              <w:pStyle w:val="Default"/>
              <w:wordWrap w:val="0"/>
              <w:jc w:val="both"/>
              <w:rPr>
                <w:rFonts w:hAnsi="맑은 고딕"/>
                <w:sz w:val="20"/>
                <w:szCs w:val="20"/>
                <w:lang w:eastAsia="ko-KR"/>
              </w:rPr>
            </w:pPr>
            <w:r w:rsidRPr="00C94914">
              <w:rPr>
                <w:rFonts w:hAnsi="맑은 고딕" w:hint="eastAsia"/>
                <w:sz w:val="20"/>
                <w:szCs w:val="20"/>
                <w:lang w:eastAsia="ko-KR"/>
              </w:rPr>
              <w:t>① 본 정관의 내용 중 다음 각 호의 1에 해당하는 사항의 변경은 법 제201조제2항</w:t>
            </w:r>
            <w:r w:rsidRPr="00C94914">
              <w:rPr>
                <w:rFonts w:hAnsi="맑은 고딕" w:hint="eastAsia"/>
                <w:b/>
                <w:bCs/>
                <w:sz w:val="20"/>
                <w:szCs w:val="20"/>
                <w:u w:val="single"/>
                <w:lang w:eastAsia="ko-KR"/>
              </w:rPr>
              <w:t>본문</w:t>
            </w:r>
            <w:r w:rsidRPr="00C94914">
              <w:rPr>
                <w:rFonts w:hAnsi="맑은 고딕" w:hint="eastAsia"/>
                <w:sz w:val="20"/>
                <w:szCs w:val="20"/>
                <w:lang w:eastAsia="ko-KR"/>
              </w:rPr>
              <w:t>에 따른 주주총회의 결의에 의하여야 한다.</w:t>
            </w:r>
          </w:p>
        </w:tc>
      </w:tr>
    </w:tbl>
    <w:p w14:paraId="545E2D29" w14:textId="77777777" w:rsidR="003B5874" w:rsidRDefault="003B5874" w:rsidP="00C94914">
      <w:pPr>
        <w:pStyle w:val="a7"/>
        <w:widowControl w:val="0"/>
        <w:wordWrap w:val="0"/>
        <w:autoSpaceDE w:val="0"/>
        <w:autoSpaceDN w:val="0"/>
        <w:spacing w:line="360" w:lineRule="auto"/>
        <w:ind w:leftChars="0" w:left="84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</w:p>
    <w:p w14:paraId="1EDB795E" w14:textId="5BD89C57" w:rsidR="00C94914" w:rsidRPr="003B5874" w:rsidRDefault="00C94914" w:rsidP="00C94914">
      <w:pPr>
        <w:pStyle w:val="a7"/>
        <w:widowControl w:val="0"/>
        <w:numPr>
          <w:ilvl w:val="0"/>
          <w:numId w:val="8"/>
        </w:numPr>
        <w:wordWrap w:val="0"/>
        <w:autoSpaceDE w:val="0"/>
        <w:autoSpaceDN w:val="0"/>
        <w:spacing w:line="360" w:lineRule="auto"/>
        <w:ind w:leftChars="0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오기 정정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871"/>
        <w:gridCol w:w="3871"/>
      </w:tblGrid>
      <w:tr w:rsidR="00D37E57" w:rsidRPr="000E2038" w14:paraId="385C94CD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39CC426E" w14:textId="77777777" w:rsidR="00D37E57" w:rsidRPr="000E2038" w:rsidRDefault="00D37E57" w:rsidP="001A2155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6C1D533F" w14:textId="77777777" w:rsidR="00D37E57" w:rsidRPr="000E2038" w:rsidRDefault="00D37E57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3C0F7732" w14:textId="77777777" w:rsidR="00D37E57" w:rsidRPr="000E2038" w:rsidRDefault="00D37E57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D37E57" w:rsidRPr="00D37E57" w14:paraId="7C490EAF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5BEE" w14:textId="77777777" w:rsidR="00D37E57" w:rsidRPr="00EA1FB0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D37E57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제53조(투자한도)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643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회사의 집합투자업자는 제52조의 규정에 의하여 회사 재산을 운용함에 있어 다음 각 호에서 정하는 바에 따라 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투자·운용한다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. 다만, 제1호 내지 제2호까지의 투자는 회사 자산총액의 50% 초과하여야 한다.</w:t>
            </w:r>
          </w:p>
          <w:p w14:paraId="47CF677C" w14:textId="69584CA0" w:rsidR="00D37E57" w:rsidRPr="00E85931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1의2. 금전대여 및 부동산투자목적회사 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주식등에의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투자는 회사 자산총액의 100% 이하로 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911" w14:textId="77777777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①</w:t>
            </w:r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회사의 집합투자업자는 제52조의 규정에 의하여 회사 재산을 운용함에 있어 다음 각 호에서 정하는 바에 따라 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투자·운용한다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. 다만, 제1호 내지 제2호까지의 투자는 회사 자산총액의 50% 초과하여야 한다.</w:t>
            </w:r>
          </w:p>
          <w:p w14:paraId="7AC1EA5E" w14:textId="7ED80B15" w:rsidR="00D37E57" w:rsidRPr="00D37E57" w:rsidRDefault="00D37E57" w:rsidP="00D37E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1의2. 금전대여 및 부동산투자목적회사 </w:t>
            </w:r>
            <w:proofErr w:type="spellStart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주식등에의</w:t>
            </w:r>
            <w:proofErr w:type="spellEnd"/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투자는 회사 자산총액</w:t>
            </w:r>
            <w:r w:rsidRPr="00D37E57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에서 부채총액을 뺀 가액</w:t>
            </w:r>
            <w:r w:rsidRPr="00D37E57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의 100% 이하로 한다.</w:t>
            </w:r>
          </w:p>
        </w:tc>
      </w:tr>
      <w:tr w:rsidR="00D37E57" w:rsidRPr="00D37E57" w14:paraId="6A5CCE95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AF9" w14:textId="57B0076C" w:rsidR="00D37E57" w:rsidRPr="00D37E57" w:rsidRDefault="00D37E57" w:rsidP="001A215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D37E57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제55조(자산운용의 제한)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2EB" w14:textId="0E97D1E8" w:rsidR="002C38B8" w:rsidRP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①</w:t>
            </w:r>
            <w:r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</w:t>
            </w:r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(생략)</w:t>
            </w:r>
          </w:p>
          <w:p w14:paraId="0E2D112E" w14:textId="77777777" w:rsidR="002C38B8" w:rsidRP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4. </w:t>
            </w:r>
            <w:r w:rsidRPr="002C38B8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투자신탁</w:t>
            </w:r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재산을 집합투자증권에 운용함에 있어서 다음 각 목의 어느 하나에 해당하는 행위</w:t>
            </w:r>
          </w:p>
          <w:p w14:paraId="71F8C0D7" w14:textId="77777777" w:rsidR="002C38B8" w:rsidRP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5. 파생상품의 매매와 관련하여 기초자산 중 동일법인 등이 발행한 증권의 가격변동으로 인한 위험평가액이 회사 자산총액의 10%를 초과하여 투자하는 행위</w:t>
            </w:r>
            <w:r w:rsidRPr="002C38B8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증권</w:t>
            </w:r>
          </w:p>
          <w:p w14:paraId="32DB287B" w14:textId="77777777" w:rsidR="00D37E57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10. 회사 자산을 그 발행인이 파산하는 때에 다른 채무를 우선 변제하고 잔여재산이 있는 경우에 한하여 그 채무를 상환한</w:t>
            </w:r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lastRenderedPageBreak/>
              <w:t xml:space="preserve">다는 조건이 있는 </w:t>
            </w:r>
            <w:proofErr w:type="spellStart"/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후순위채권에</w:t>
            </w:r>
            <w:proofErr w:type="spellEnd"/>
            <w:r w:rsidRPr="002C38B8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투자하는 행위</w:t>
            </w:r>
          </w:p>
          <w:p w14:paraId="3584A639" w14:textId="75B17555" w:rsidR="002C38B8" w:rsidRP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11. 회사 자산을 그 발행인이 파산하는 때에 다른 채무를 우선 변제하고 잔여재산이 있는 경우에 한하여 그 채무를 상환한다는 조건이 있는 </w:t>
            </w:r>
            <w:proofErr w:type="spellStart"/>
            <w:r w:rsidRPr="002C38B8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후순위채권에</w:t>
            </w:r>
            <w:proofErr w:type="spellEnd"/>
            <w:r w:rsidRPr="002C38B8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 xml:space="preserve"> 투자하는 행위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DF1" w14:textId="3418C6BD" w:rsidR="002C38B8" w:rsidRP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lastRenderedPageBreak/>
              <w:t>①</w:t>
            </w:r>
            <w:r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</w:t>
            </w:r>
            <w:r w:rsidRPr="002C38B8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(생략)</w:t>
            </w:r>
          </w:p>
          <w:p w14:paraId="2B50298A" w14:textId="77777777" w:rsidR="002C38B8" w:rsidRP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4. </w:t>
            </w:r>
            <w:r w:rsidRPr="002C38B8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회사</w:t>
            </w:r>
            <w:r w:rsidRPr="002C38B8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재산을 집합투자증권에 운용함에 있어서 다음 각 목의 어느 하나에 해당하는 행위</w:t>
            </w:r>
          </w:p>
          <w:p w14:paraId="496655BD" w14:textId="77777777" w:rsidR="00D37E57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5. 파생상품의 매매와 관련하여 기초자산 중 동일법인 등이 발행한 증권의 가격변동으로 인한 위험평가액이 회사 자산총액의 10%를 초과하여 투자하는</w:t>
            </w:r>
            <w:r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행위</w:t>
            </w:r>
          </w:p>
          <w:p w14:paraId="248A6CAB" w14:textId="77777777" w:rsid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10. (</w:t>
            </w:r>
            <w:proofErr w:type="spellStart"/>
            <w:r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좌동</w:t>
            </w:r>
            <w:proofErr w:type="spellEnd"/>
            <w:r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)</w:t>
            </w:r>
          </w:p>
          <w:p w14:paraId="2313E0FC" w14:textId="77777777" w:rsid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</w:p>
          <w:p w14:paraId="5163CEB6" w14:textId="77777777" w:rsid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</w:p>
          <w:p w14:paraId="38FC2535" w14:textId="77777777" w:rsid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</w:p>
          <w:p w14:paraId="0649CA92" w14:textId="77777777" w:rsid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</w:p>
          <w:p w14:paraId="3CE9A49C" w14:textId="21EABBAC" w:rsidR="002C38B8" w:rsidRPr="002C38B8" w:rsidRDefault="002C38B8" w:rsidP="002C38B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2C38B8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11. &lt;삭제&gt;</w:t>
            </w:r>
          </w:p>
        </w:tc>
      </w:tr>
      <w:tr w:rsidR="00E17379" w:rsidRPr="00D37E57" w14:paraId="62423263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E77" w14:textId="16ADAD59" w:rsidR="00E17379" w:rsidRPr="00666C32" w:rsidRDefault="00E17379" w:rsidP="00666C32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666C32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lastRenderedPageBreak/>
              <w:t>제</w:t>
            </w:r>
            <w:r w:rsidRPr="00666C32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  <w:t>63</w:t>
            </w:r>
            <w:r w:rsidRPr="00666C32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조</w:t>
            </w:r>
            <w:r w:rsidRPr="00666C32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  <w:t>(</w:t>
            </w:r>
            <w:r w:rsidRPr="00666C32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자산의</w:t>
            </w:r>
            <w:r w:rsidR="00666C32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666C32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평가</w:t>
            </w:r>
            <w:r w:rsidRPr="00666C32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  <w:t xml:space="preserve">) </w:t>
            </w:r>
          </w:p>
          <w:p w14:paraId="6CE31725" w14:textId="77777777" w:rsidR="00E17379" w:rsidRPr="00D37E57" w:rsidRDefault="00E17379" w:rsidP="001A215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E8E" w14:textId="77777777" w:rsidR="00E17379" w:rsidRPr="00E17379" w:rsidRDefault="00E17379" w:rsidP="00E1737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①집합투자업자는 법 제238조제1항에 따라 </w:t>
            </w:r>
            <w:r w:rsidRPr="00C9491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투자신탁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재산을 시가에 따라 평가하되, 평가일 현재 신뢰할 만한 시가가 없는 경우 공정가액으로 평가하여야 한다.</w:t>
            </w:r>
          </w:p>
          <w:p w14:paraId="36C393F2" w14:textId="77777777" w:rsidR="00E17379" w:rsidRPr="00E17379" w:rsidRDefault="00E17379" w:rsidP="00E1737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②집합투자업자는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제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>1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항에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따른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투자신탁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재산의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평가업무를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수행하기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위하여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법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제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>238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조제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2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항에서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정하는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proofErr w:type="spellStart"/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집합투자재산평가위원회를</w:t>
            </w:r>
            <w:proofErr w:type="spellEnd"/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구성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>∙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운영하여야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한다</w:t>
            </w:r>
            <w:r w:rsidRPr="00E17379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>.</w:t>
            </w:r>
          </w:p>
          <w:p w14:paraId="34F77122" w14:textId="66A68010" w:rsidR="00C94914" w:rsidRPr="00C94914" w:rsidRDefault="00E17379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③집합투자업자는 </w:t>
            </w:r>
            <w:r w:rsidRPr="00C9491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투자신탁</w:t>
            </w:r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재산에 대한 평가가 공정하고 정확하게 이루어질 수 있도록 신탁업자의 확인을 받아 법 제238조 제3항에서 정하는 집합투자재산의 평가와 절차에 관한 기준(이하 이조에서 “집합투자재산 </w:t>
            </w:r>
            <w:proofErr w:type="spellStart"/>
            <w:r w:rsidRPr="00E17379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평가기</w:t>
            </w:r>
            <w:proofErr w:type="spellEnd"/>
            <w:r w:rsidR="00C94914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C94914"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준”이라</w:t>
            </w:r>
            <w:proofErr w:type="spellEnd"/>
            <w:r w:rsidR="00C94914"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한다)을 마련하여야 한다.</w:t>
            </w:r>
          </w:p>
          <w:p w14:paraId="13BC0171" w14:textId="77777777" w:rsidR="00C94914" w:rsidRPr="00C94914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C94914">
              <w:rPr>
                <w:rFonts w:ascii="Segoe UI Symbol" w:eastAsia="맑은 고딕" w:hAnsi="Segoe UI Symbol" w:cs="Segoe UI Symbol"/>
                <w:kern w:val="2"/>
                <w:sz w:val="20"/>
                <w:lang w:eastAsia="ko-KR"/>
              </w:rPr>
              <w:t>➃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집합투자업자는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제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>2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항에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따른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평가위원회가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투자신탁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재산을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평가한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경우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그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평가명세를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지체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없이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신탁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업자에게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통보하여야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한다</w:t>
            </w:r>
            <w:r w:rsidRPr="00C94914"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  <w:t>.</w:t>
            </w:r>
          </w:p>
          <w:p w14:paraId="5EFBE5E5" w14:textId="2E900898" w:rsidR="00E17379" w:rsidRPr="002C38B8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⑤신탁업자는 집합투자업자의 </w:t>
            </w:r>
            <w:r w:rsidRPr="00C9491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투자신탁</w:t>
            </w: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재산의 평가가 법령 및 </w:t>
            </w:r>
            <w:proofErr w:type="spellStart"/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집합투자재산평가기준에</w:t>
            </w:r>
            <w:proofErr w:type="spellEnd"/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 따라 공정하게 이루어졌는지 확인하여야 한다.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5C5" w14:textId="77777777" w:rsidR="00C94914" w:rsidRPr="00C94914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①집합투자업자는 법 제238조제1항에 따라 </w:t>
            </w:r>
            <w:r w:rsidRPr="00C94914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회사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재산을 시가에 따라 평가하되, 평가일 현재 신뢰할 만한 시가가 없는 경우 공정가액으로 평가하여야 한다. </w:t>
            </w:r>
          </w:p>
          <w:p w14:paraId="454E94F8" w14:textId="77777777" w:rsidR="00C94914" w:rsidRPr="00C94914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②집합투자업자는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제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>1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항에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따른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회사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재산의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평가업무를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수행하기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위하여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법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제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>238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조제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2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항에서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정하는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proofErr w:type="spellStart"/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집합투자재산평가위원회를</w:t>
            </w:r>
            <w:proofErr w:type="spellEnd"/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구성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>∙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운영하여야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 xml:space="preserve"> 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한다</w:t>
            </w:r>
            <w:r w:rsidRPr="00C94914"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  <w:t>.</w:t>
            </w:r>
          </w:p>
          <w:p w14:paraId="72B5D857" w14:textId="77777777" w:rsidR="00C94914" w:rsidRPr="00C94914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③집합투자업자는 </w:t>
            </w:r>
            <w:r w:rsidRPr="00C94914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회사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재산에 대한 평가가 공정하고 정확하게 이루어질 수 있도록 신탁업자의 확인을 받아 법 제238조 제3항에서 정하는 집합투자재산의 평가와 절차에 관한 기준(이하 이조에서 “</w:t>
            </w:r>
            <w:proofErr w:type="spellStart"/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집합투자재산평가기준”이라</w:t>
            </w:r>
            <w:proofErr w:type="spellEnd"/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한다)을 마련하여야 한다.</w:t>
            </w:r>
          </w:p>
          <w:p w14:paraId="4539712C" w14:textId="77777777" w:rsidR="00C94914" w:rsidRPr="00C94914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④집합투자업자는 제2항에 따른 평가위원회가 </w:t>
            </w:r>
            <w:r w:rsidRPr="00C94914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회사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재산을 평가한 경우 그 평가명세를 지체 없이 신탁업자에게 통보하여야 한다.</w:t>
            </w:r>
          </w:p>
          <w:p w14:paraId="00AF5AFC" w14:textId="47B790A8" w:rsidR="00E17379" w:rsidRPr="002C38B8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⑤신탁업자는 집합투자업자의 </w:t>
            </w:r>
            <w:r w:rsidRPr="00C94914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회사</w:t>
            </w: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재산의 평가가 법령 및 </w:t>
            </w:r>
            <w:proofErr w:type="spellStart"/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집합투자재산평가기준에</w:t>
            </w:r>
            <w:proofErr w:type="spellEnd"/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 xml:space="preserve"> 따라 공정하게 이루어졌는지 확인하여야 한다.</w:t>
            </w:r>
          </w:p>
        </w:tc>
      </w:tr>
      <w:tr w:rsidR="00C94914" w:rsidRPr="00D37E57" w14:paraId="62C88A6B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F68" w14:textId="79529A14" w:rsidR="00C94914" w:rsidRDefault="00C94914" w:rsidP="00E17379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C94914">
              <w:rPr>
                <w:rFonts w:hint="eastAsia"/>
                <w:b/>
                <w:bCs/>
                <w:sz w:val="20"/>
                <w:szCs w:val="20"/>
              </w:rPr>
              <w:t>제73</w:t>
            </w:r>
            <w:proofErr w:type="gramStart"/>
            <w:r w:rsidRPr="00C94914">
              <w:rPr>
                <w:rFonts w:hint="eastAsia"/>
                <w:b/>
                <w:bCs/>
                <w:sz w:val="20"/>
                <w:szCs w:val="20"/>
              </w:rPr>
              <w:t>조(</w:t>
            </w:r>
            <w:proofErr w:type="spellStart"/>
            <w:proofErr w:type="gramEnd"/>
            <w:r w:rsidRPr="00C94914">
              <w:rPr>
                <w:rFonts w:hint="eastAsia"/>
                <w:b/>
                <w:bCs/>
                <w:sz w:val="20"/>
                <w:szCs w:val="20"/>
              </w:rPr>
              <w:t>주주에</w:t>
            </w:r>
            <w:proofErr w:type="spellEnd"/>
            <w:r w:rsidRPr="00C9491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4914">
              <w:rPr>
                <w:rFonts w:hint="eastAsia"/>
                <w:b/>
                <w:bCs/>
                <w:sz w:val="20"/>
                <w:szCs w:val="20"/>
              </w:rPr>
              <w:t>대한</w:t>
            </w:r>
            <w:proofErr w:type="spellEnd"/>
            <w:r w:rsidRPr="00C94914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4914">
              <w:rPr>
                <w:rFonts w:hint="eastAsia"/>
                <w:b/>
                <w:bCs/>
                <w:sz w:val="20"/>
                <w:szCs w:val="20"/>
              </w:rPr>
              <w:t>공시</w:t>
            </w:r>
            <w:proofErr w:type="spellEnd"/>
            <w:r w:rsidRPr="00C94914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CE4" w14:textId="31252403" w:rsidR="00C94914" w:rsidRPr="00C94914" w:rsidRDefault="00C94914" w:rsidP="00E1737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 xml:space="preserve">5. 그 밖에 투자자 보호를 위하여 필요한 사항으로서 법 시행령 제93조제3항에서 정하는 사항 </w:t>
            </w:r>
            <w:r w:rsidRPr="00C94914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자본시장과 금융투자업에 관한 법률자본시장과 금융투자업에 관한 법률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44F0" w14:textId="5506CF3D" w:rsidR="00C94914" w:rsidRPr="00C94914" w:rsidRDefault="00C94914" w:rsidP="00C9491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Cs/>
                <w:kern w:val="2"/>
                <w:sz w:val="20"/>
                <w:lang w:eastAsia="ko-KR"/>
              </w:rPr>
            </w:pPr>
            <w:r w:rsidRPr="00C94914">
              <w:rPr>
                <w:rFonts w:ascii="맑은 고딕" w:eastAsia="맑은 고딕" w:hAnsi="맑은 고딕" w:cs="Arial" w:hint="eastAsia"/>
                <w:bCs/>
                <w:kern w:val="2"/>
                <w:sz w:val="20"/>
                <w:lang w:eastAsia="ko-KR"/>
              </w:rPr>
              <w:t>5. 그 밖에 투자자 보호를 위하여 필요한 사항으로서 법 시행령 제93조제3항에서 정하는 사항</w:t>
            </w:r>
          </w:p>
        </w:tc>
      </w:tr>
    </w:tbl>
    <w:p w14:paraId="1F20A89A" w14:textId="77777777" w:rsidR="003B5874" w:rsidRPr="00D37E57" w:rsidRDefault="003B5874" w:rsidP="00F9100F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</w:p>
    <w:p w14:paraId="044FD091" w14:textId="77777777" w:rsidR="004D3BC2" w:rsidRPr="00804556" w:rsidRDefault="004D3BC2" w:rsidP="00125D63">
      <w:pPr>
        <w:spacing w:line="360" w:lineRule="auto"/>
        <w:jc w:val="center"/>
        <w:rPr>
          <w:rFonts w:ascii="맑은 고딕" w:eastAsia="맑은 고딕" w:hAnsi="맑은 고딕"/>
          <w:b/>
          <w:sz w:val="30"/>
          <w:szCs w:val="30"/>
          <w:lang w:eastAsia="ko-KR"/>
        </w:rPr>
      </w:pPr>
    </w:p>
    <w:p w14:paraId="0B661014" w14:textId="7B422696" w:rsidR="00EF626A" w:rsidRPr="00125D63" w:rsidRDefault="00AB28D9" w:rsidP="00125D63">
      <w:pPr>
        <w:spacing w:line="360" w:lineRule="auto"/>
        <w:jc w:val="center"/>
        <w:rPr>
          <w:rFonts w:ascii="맑은 고딕" w:eastAsia="맑은 고딕" w:hAnsi="맑은 고딕"/>
          <w:b/>
          <w:sz w:val="30"/>
          <w:szCs w:val="30"/>
          <w:lang w:eastAsia="ko-KR"/>
        </w:rPr>
      </w:pPr>
      <w:r w:rsidRPr="00AB28D9">
        <w:rPr>
          <w:rFonts w:ascii="맑은 고딕" w:eastAsia="맑은 고딕" w:hAnsi="맑은 고딕" w:hint="eastAsia"/>
          <w:b/>
          <w:sz w:val="30"/>
          <w:szCs w:val="30"/>
          <w:lang w:eastAsia="ko-KR"/>
        </w:rPr>
        <w:t>미래에셋자산운용</w:t>
      </w:r>
      <w:r w:rsidRPr="00AB28D9">
        <w:rPr>
          <w:rFonts w:ascii="맑은 고딕" w:eastAsia="맑은 고딕" w:hAnsi="맑은 고딕"/>
          <w:b/>
          <w:sz w:val="30"/>
          <w:szCs w:val="30"/>
          <w:lang w:eastAsia="ko-KR"/>
        </w:rPr>
        <w:t>㈜</w:t>
      </w:r>
    </w:p>
    <w:sectPr w:rsidR="00EF626A" w:rsidRPr="00125D63" w:rsidSect="009024DA">
      <w:headerReference w:type="even" r:id="rId12"/>
      <w:footerReference w:type="default" r:id="rId13"/>
      <w:headerReference w:type="first" r:id="rId14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CD67" w14:textId="77777777" w:rsidR="00FE47A5" w:rsidRDefault="00FE47A5" w:rsidP="009024DA">
      <w:r>
        <w:separator/>
      </w:r>
    </w:p>
  </w:endnote>
  <w:endnote w:type="continuationSeparator" w:id="0">
    <w:p w14:paraId="630F2444" w14:textId="77777777" w:rsidR="00FE47A5" w:rsidRDefault="00FE47A5" w:rsidP="009024DA">
      <w:r>
        <w:continuationSeparator/>
      </w:r>
    </w:p>
  </w:endnote>
  <w:endnote w:type="continuationNotice" w:id="1">
    <w:p w14:paraId="318728BC" w14:textId="77777777" w:rsidR="00FE47A5" w:rsidRDefault="00FE4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_Pro Bold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맑은 고딕">
    <w:altName w:val="Malgun Gothic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oPub돋움체_Pro Medium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E179" w14:textId="77777777" w:rsidR="00AC7BDC" w:rsidRDefault="00AC7BDC">
    <w:pPr>
      <w:pStyle w:val="a4"/>
    </w:pPr>
    <w:r w:rsidRPr="00E9256B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89CE9" wp14:editId="74787EF1">
              <wp:simplePos x="0" y="0"/>
              <wp:positionH relativeFrom="column">
                <wp:posOffset>4177030</wp:posOffset>
              </wp:positionH>
              <wp:positionV relativeFrom="paragraph">
                <wp:posOffset>-635</wp:posOffset>
              </wp:positionV>
              <wp:extent cx="2425065" cy="424815"/>
              <wp:effectExtent l="0" t="0" r="4445" b="4445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A3F35" w14:textId="77777777" w:rsidR="00AC7BDC" w:rsidRPr="00BE625F" w:rsidRDefault="00AC7BDC" w:rsidP="00E9256B">
                          <w:pPr>
                            <w:jc w:val="right"/>
                            <w:rPr>
                              <w:rFonts w:ascii="KoPub돋움체_Pro Medium" w:eastAsia="KoPub돋움체_Pro Medium" w:hAnsi="KoPub돋움체_Pro Medium"/>
                              <w:b/>
                              <w:color w:val="2F373A"/>
                              <w:sz w:val="16"/>
                              <w:szCs w:val="16"/>
                            </w:rPr>
                          </w:pPr>
                          <w:r w:rsidRPr="00BE625F">
                            <w:rPr>
                              <w:rFonts w:ascii="KoPub돋움체_Pro Medium" w:eastAsia="KoPub돋움체_Pro Medium" w:hAnsi="KoPub돋움체_Pro Medium"/>
                              <w:b/>
                              <w:color w:val="2F373A"/>
                              <w:sz w:val="16"/>
                              <w:szCs w:val="16"/>
                            </w:rPr>
                            <w:t>Mirae Asset Global Investments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89CE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328.9pt;margin-top:-.05pt;width:190.9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" filled="f" stroked="f">
              <v:textbox inset=",7.2pt,,7.2pt">
                <w:txbxContent>
                  <w:p w14:paraId="2F0A3F35" w14:textId="77777777" w:rsidR="00AC7BDC" w:rsidRPr="00BE625F" w:rsidRDefault="00AC7BDC" w:rsidP="00E9256B">
                    <w:pPr>
                      <w:jc w:val="right"/>
                      <w:rPr>
                        <w:rFonts w:ascii="KoPub돋움체_Pro Medium" w:eastAsia="KoPub돋움체_Pro Medium" w:hAnsi="KoPub돋움체_Pro Medium"/>
                        <w:b/>
                        <w:color w:val="2F373A"/>
                        <w:sz w:val="16"/>
                        <w:szCs w:val="16"/>
                      </w:rPr>
                    </w:pPr>
                    <w:r w:rsidRPr="00BE625F">
                      <w:rPr>
                        <w:rFonts w:ascii="KoPub돋움체_Pro Medium" w:eastAsia="KoPub돋움체_Pro Medium" w:hAnsi="KoPub돋움체_Pro Medium"/>
                        <w:b/>
                        <w:color w:val="2F373A"/>
                        <w:sz w:val="16"/>
                        <w:szCs w:val="16"/>
                      </w:rPr>
                      <w:t>Mirae Asset Global Investments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3AEC" w14:textId="77777777" w:rsidR="00FE47A5" w:rsidRDefault="00FE47A5" w:rsidP="009024DA">
      <w:r>
        <w:separator/>
      </w:r>
    </w:p>
  </w:footnote>
  <w:footnote w:type="continuationSeparator" w:id="0">
    <w:p w14:paraId="57ED75ED" w14:textId="77777777" w:rsidR="00FE47A5" w:rsidRDefault="00FE47A5" w:rsidP="009024DA">
      <w:r>
        <w:continuationSeparator/>
      </w:r>
    </w:p>
  </w:footnote>
  <w:footnote w:type="continuationNotice" w:id="1">
    <w:p w14:paraId="4EAA201E" w14:textId="77777777" w:rsidR="00FE47A5" w:rsidRDefault="00FE4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BB33" w14:textId="77777777" w:rsidR="00AC7BDC" w:rsidRDefault="00000000">
    <w:pPr>
      <w:pStyle w:val="a3"/>
    </w:pPr>
    <w:r>
      <w:rPr>
        <w:noProof/>
      </w:rPr>
      <w:pict w14:anchorId="57A47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ntitled-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8148" w14:textId="77777777" w:rsidR="00AC7BDC" w:rsidRDefault="00000000">
    <w:pPr>
      <w:pStyle w:val="a3"/>
    </w:pPr>
    <w:r>
      <w:rPr>
        <w:noProof/>
      </w:rPr>
      <w:pict w14:anchorId="4DAAD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Untitled-2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01"/>
    <w:multiLevelType w:val="hybridMultilevel"/>
    <w:tmpl w:val="44281ED6"/>
    <w:lvl w:ilvl="0" w:tplc="FC46B064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5B14BB"/>
    <w:multiLevelType w:val="hybridMultilevel"/>
    <w:tmpl w:val="CFAA3D4E"/>
    <w:lvl w:ilvl="0" w:tplc="47CE3F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2"/>
        </w:tabs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2"/>
        </w:tabs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2"/>
        </w:tabs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00"/>
      </w:pPr>
    </w:lvl>
  </w:abstractNum>
  <w:abstractNum w:abstractNumId="2" w15:restartNumberingAfterBreak="0">
    <w:nsid w:val="10956526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3" w15:restartNumberingAfterBreak="0">
    <w:nsid w:val="10C74777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4" w15:restartNumberingAfterBreak="0">
    <w:nsid w:val="1A392145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5" w15:restartNumberingAfterBreak="0">
    <w:nsid w:val="1ABC526D"/>
    <w:multiLevelType w:val="hybridMultilevel"/>
    <w:tmpl w:val="E29633AA"/>
    <w:lvl w:ilvl="0" w:tplc="E5D47FBA">
      <w:start w:val="1"/>
      <w:numFmt w:val="decimalEnclosedCircl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B14997"/>
    <w:multiLevelType w:val="hybridMultilevel"/>
    <w:tmpl w:val="F94EB6F8"/>
    <w:lvl w:ilvl="0" w:tplc="FC46B064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57C3D30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8" w15:restartNumberingAfterBreak="0">
    <w:nsid w:val="56CF7B34"/>
    <w:multiLevelType w:val="hybridMultilevel"/>
    <w:tmpl w:val="78F828A4"/>
    <w:lvl w:ilvl="0" w:tplc="DBE8DD86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9" w15:restartNumberingAfterBreak="0">
    <w:nsid w:val="57826353"/>
    <w:multiLevelType w:val="hybridMultilevel"/>
    <w:tmpl w:val="6C38382C"/>
    <w:lvl w:ilvl="0" w:tplc="0058A428">
      <w:start w:val="1"/>
      <w:numFmt w:val="decimal"/>
      <w:lvlText w:val="%1."/>
      <w:lvlJc w:val="left"/>
      <w:pPr>
        <w:ind w:left="400" w:hanging="400"/>
      </w:pPr>
      <w:rPr>
        <w:sz w:val="20"/>
        <w:szCs w:val="20"/>
      </w:rPr>
    </w:lvl>
    <w:lvl w:ilvl="1" w:tplc="6EBE046E">
      <w:start w:val="1"/>
      <w:numFmt w:val="ganada"/>
      <w:lvlText w:val="%2."/>
      <w:lvlJc w:val="left"/>
      <w:pPr>
        <w:ind w:left="760" w:hanging="360"/>
      </w:pPr>
      <w:rPr>
        <w:rFonts w:hint="default"/>
      </w:rPr>
    </w:lvl>
    <w:lvl w:ilvl="2" w:tplc="70DC249E">
      <w:start w:val="1"/>
      <w:numFmt w:val="decimalEnclosedCircle"/>
      <w:lvlText w:val="%3"/>
      <w:lvlJc w:val="left"/>
      <w:pPr>
        <w:ind w:left="1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635E6386"/>
    <w:multiLevelType w:val="hybridMultilevel"/>
    <w:tmpl w:val="68DAF28A"/>
    <w:lvl w:ilvl="0" w:tplc="48AC69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2"/>
        </w:tabs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2"/>
        </w:tabs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2"/>
        </w:tabs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00"/>
      </w:pPr>
    </w:lvl>
  </w:abstractNum>
  <w:abstractNum w:abstractNumId="11" w15:restartNumberingAfterBreak="0">
    <w:nsid w:val="63A1594F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2" w15:restartNumberingAfterBreak="0">
    <w:nsid w:val="6D1A44D0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3" w15:restartNumberingAfterBreak="0">
    <w:nsid w:val="79C30D9E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num w:numId="1" w16cid:durableId="859658323">
    <w:abstractNumId w:val="9"/>
  </w:num>
  <w:num w:numId="2" w16cid:durableId="1149710017">
    <w:abstractNumId w:val="6"/>
  </w:num>
  <w:num w:numId="3" w16cid:durableId="1326474514">
    <w:abstractNumId w:val="0"/>
  </w:num>
  <w:num w:numId="4" w16cid:durableId="1760130637">
    <w:abstractNumId w:val="1"/>
  </w:num>
  <w:num w:numId="5" w16cid:durableId="1780375011">
    <w:abstractNumId w:val="10"/>
  </w:num>
  <w:num w:numId="6" w16cid:durableId="1823503181">
    <w:abstractNumId w:val="5"/>
  </w:num>
  <w:num w:numId="7" w16cid:durableId="2103793668">
    <w:abstractNumId w:val="8"/>
  </w:num>
  <w:num w:numId="8" w16cid:durableId="1372614370">
    <w:abstractNumId w:val="3"/>
  </w:num>
  <w:num w:numId="9" w16cid:durableId="240025481">
    <w:abstractNumId w:val="4"/>
  </w:num>
  <w:num w:numId="10" w16cid:durableId="437799654">
    <w:abstractNumId w:val="13"/>
  </w:num>
  <w:num w:numId="11" w16cid:durableId="470483464">
    <w:abstractNumId w:val="12"/>
  </w:num>
  <w:num w:numId="12" w16cid:durableId="26805690">
    <w:abstractNumId w:val="11"/>
  </w:num>
  <w:num w:numId="13" w16cid:durableId="537473553">
    <w:abstractNumId w:val="2"/>
  </w:num>
  <w:num w:numId="14" w16cid:durableId="65125820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4A"/>
    <w:rsid w:val="00007D4D"/>
    <w:rsid w:val="00014FC7"/>
    <w:rsid w:val="00021990"/>
    <w:rsid w:val="00021B3D"/>
    <w:rsid w:val="0002457C"/>
    <w:rsid w:val="00025818"/>
    <w:rsid w:val="0002724D"/>
    <w:rsid w:val="000342E4"/>
    <w:rsid w:val="00035B1F"/>
    <w:rsid w:val="00036039"/>
    <w:rsid w:val="00036AA3"/>
    <w:rsid w:val="00041F67"/>
    <w:rsid w:val="00044556"/>
    <w:rsid w:val="00045413"/>
    <w:rsid w:val="000458A0"/>
    <w:rsid w:val="00051A6A"/>
    <w:rsid w:val="00060355"/>
    <w:rsid w:val="00060DF1"/>
    <w:rsid w:val="00060FE2"/>
    <w:rsid w:val="00062F1A"/>
    <w:rsid w:val="00065DC8"/>
    <w:rsid w:val="000660A5"/>
    <w:rsid w:val="00071847"/>
    <w:rsid w:val="00071DAF"/>
    <w:rsid w:val="00072C71"/>
    <w:rsid w:val="000742D7"/>
    <w:rsid w:val="00074C9F"/>
    <w:rsid w:val="0008240E"/>
    <w:rsid w:val="00085F4A"/>
    <w:rsid w:val="00087E1B"/>
    <w:rsid w:val="00096B91"/>
    <w:rsid w:val="000A1105"/>
    <w:rsid w:val="000A2DF6"/>
    <w:rsid w:val="000A7BCB"/>
    <w:rsid w:val="000B1991"/>
    <w:rsid w:val="000B1CFD"/>
    <w:rsid w:val="000C1AEE"/>
    <w:rsid w:val="000C361F"/>
    <w:rsid w:val="000C528B"/>
    <w:rsid w:val="000D163A"/>
    <w:rsid w:val="000D6807"/>
    <w:rsid w:val="000E54A6"/>
    <w:rsid w:val="000E6EC2"/>
    <w:rsid w:val="000F161D"/>
    <w:rsid w:val="000F374E"/>
    <w:rsid w:val="000F61B1"/>
    <w:rsid w:val="000F6E98"/>
    <w:rsid w:val="000F70F5"/>
    <w:rsid w:val="00102B37"/>
    <w:rsid w:val="00103036"/>
    <w:rsid w:val="0010376D"/>
    <w:rsid w:val="00104404"/>
    <w:rsid w:val="00105D65"/>
    <w:rsid w:val="00106CF0"/>
    <w:rsid w:val="00110A27"/>
    <w:rsid w:val="0011280D"/>
    <w:rsid w:val="00114532"/>
    <w:rsid w:val="00114BC7"/>
    <w:rsid w:val="00114F6B"/>
    <w:rsid w:val="00124EB3"/>
    <w:rsid w:val="00125D63"/>
    <w:rsid w:val="00130489"/>
    <w:rsid w:val="00130842"/>
    <w:rsid w:val="001314DE"/>
    <w:rsid w:val="00134044"/>
    <w:rsid w:val="001351DE"/>
    <w:rsid w:val="00140BB1"/>
    <w:rsid w:val="001414AF"/>
    <w:rsid w:val="00143E11"/>
    <w:rsid w:val="0015149D"/>
    <w:rsid w:val="001525DC"/>
    <w:rsid w:val="00160C89"/>
    <w:rsid w:val="00160F45"/>
    <w:rsid w:val="001613D0"/>
    <w:rsid w:val="00164FE7"/>
    <w:rsid w:val="0018106D"/>
    <w:rsid w:val="00185BBB"/>
    <w:rsid w:val="00186934"/>
    <w:rsid w:val="0018747F"/>
    <w:rsid w:val="00196022"/>
    <w:rsid w:val="001A05DF"/>
    <w:rsid w:val="001A2A7D"/>
    <w:rsid w:val="001A512D"/>
    <w:rsid w:val="001B0A18"/>
    <w:rsid w:val="001B3755"/>
    <w:rsid w:val="001B5D05"/>
    <w:rsid w:val="001B6C5A"/>
    <w:rsid w:val="001C29E8"/>
    <w:rsid w:val="001C55E0"/>
    <w:rsid w:val="001C6BDD"/>
    <w:rsid w:val="001D0EB2"/>
    <w:rsid w:val="001D1DD8"/>
    <w:rsid w:val="001D34E4"/>
    <w:rsid w:val="001E0E81"/>
    <w:rsid w:val="001E6A14"/>
    <w:rsid w:val="001E6DD6"/>
    <w:rsid w:val="001F2A78"/>
    <w:rsid w:val="001F2D72"/>
    <w:rsid w:val="001F3ADC"/>
    <w:rsid w:val="001F58EE"/>
    <w:rsid w:val="00203093"/>
    <w:rsid w:val="00203544"/>
    <w:rsid w:val="00214D68"/>
    <w:rsid w:val="002153CE"/>
    <w:rsid w:val="00216D2A"/>
    <w:rsid w:val="00216E95"/>
    <w:rsid w:val="00221B09"/>
    <w:rsid w:val="00226D30"/>
    <w:rsid w:val="002304F0"/>
    <w:rsid w:val="002324A4"/>
    <w:rsid w:val="00233C71"/>
    <w:rsid w:val="00240C7D"/>
    <w:rsid w:val="002413FD"/>
    <w:rsid w:val="00242EAF"/>
    <w:rsid w:val="00246E05"/>
    <w:rsid w:val="00247C0D"/>
    <w:rsid w:val="00247ECB"/>
    <w:rsid w:val="002507AB"/>
    <w:rsid w:val="00252F65"/>
    <w:rsid w:val="002535E2"/>
    <w:rsid w:val="00253CB0"/>
    <w:rsid w:val="00254949"/>
    <w:rsid w:val="00257392"/>
    <w:rsid w:val="0026319B"/>
    <w:rsid w:val="00263304"/>
    <w:rsid w:val="00263A7A"/>
    <w:rsid w:val="00265DB2"/>
    <w:rsid w:val="00272764"/>
    <w:rsid w:val="00272E70"/>
    <w:rsid w:val="00274442"/>
    <w:rsid w:val="00276781"/>
    <w:rsid w:val="00280ECA"/>
    <w:rsid w:val="00281172"/>
    <w:rsid w:val="00282FAD"/>
    <w:rsid w:val="00283F5D"/>
    <w:rsid w:val="00284ADF"/>
    <w:rsid w:val="00284AF3"/>
    <w:rsid w:val="0028746D"/>
    <w:rsid w:val="002953BA"/>
    <w:rsid w:val="002A0AF4"/>
    <w:rsid w:val="002A18DE"/>
    <w:rsid w:val="002B0C5B"/>
    <w:rsid w:val="002B408A"/>
    <w:rsid w:val="002C2A27"/>
    <w:rsid w:val="002C38B8"/>
    <w:rsid w:val="002C47BB"/>
    <w:rsid w:val="002C4C6F"/>
    <w:rsid w:val="002C65E4"/>
    <w:rsid w:val="002D172A"/>
    <w:rsid w:val="002D323F"/>
    <w:rsid w:val="002D479F"/>
    <w:rsid w:val="002D4977"/>
    <w:rsid w:val="002D4D4F"/>
    <w:rsid w:val="002D50C1"/>
    <w:rsid w:val="002D6E6F"/>
    <w:rsid w:val="002E47C6"/>
    <w:rsid w:val="002F16C6"/>
    <w:rsid w:val="002F4D43"/>
    <w:rsid w:val="002F75B8"/>
    <w:rsid w:val="00301619"/>
    <w:rsid w:val="00303C6F"/>
    <w:rsid w:val="00303CD8"/>
    <w:rsid w:val="00305CBE"/>
    <w:rsid w:val="00307359"/>
    <w:rsid w:val="00311EAE"/>
    <w:rsid w:val="003145D2"/>
    <w:rsid w:val="003167BB"/>
    <w:rsid w:val="00317AD0"/>
    <w:rsid w:val="00322625"/>
    <w:rsid w:val="00326274"/>
    <w:rsid w:val="003264A7"/>
    <w:rsid w:val="00326618"/>
    <w:rsid w:val="0033009A"/>
    <w:rsid w:val="00331B75"/>
    <w:rsid w:val="0033257A"/>
    <w:rsid w:val="00334021"/>
    <w:rsid w:val="00335601"/>
    <w:rsid w:val="003358F8"/>
    <w:rsid w:val="00340E61"/>
    <w:rsid w:val="00341869"/>
    <w:rsid w:val="003464CF"/>
    <w:rsid w:val="003472E1"/>
    <w:rsid w:val="00350492"/>
    <w:rsid w:val="00350787"/>
    <w:rsid w:val="00352099"/>
    <w:rsid w:val="00353123"/>
    <w:rsid w:val="00366688"/>
    <w:rsid w:val="00371CE6"/>
    <w:rsid w:val="0037491F"/>
    <w:rsid w:val="00375253"/>
    <w:rsid w:val="00380144"/>
    <w:rsid w:val="00380576"/>
    <w:rsid w:val="00385E9A"/>
    <w:rsid w:val="0039127E"/>
    <w:rsid w:val="00397EAF"/>
    <w:rsid w:val="003A0876"/>
    <w:rsid w:val="003B0D96"/>
    <w:rsid w:val="003B3FD9"/>
    <w:rsid w:val="003B5874"/>
    <w:rsid w:val="003B5A3F"/>
    <w:rsid w:val="003B7F60"/>
    <w:rsid w:val="003C211C"/>
    <w:rsid w:val="003C2F80"/>
    <w:rsid w:val="003C410D"/>
    <w:rsid w:val="003C6054"/>
    <w:rsid w:val="003C6C1A"/>
    <w:rsid w:val="003D1345"/>
    <w:rsid w:val="003D6B9F"/>
    <w:rsid w:val="003D7972"/>
    <w:rsid w:val="003D7C10"/>
    <w:rsid w:val="003E2311"/>
    <w:rsid w:val="003E32B6"/>
    <w:rsid w:val="003E7069"/>
    <w:rsid w:val="003F0AEF"/>
    <w:rsid w:val="003F22C7"/>
    <w:rsid w:val="003F29D8"/>
    <w:rsid w:val="00410059"/>
    <w:rsid w:val="00410F79"/>
    <w:rsid w:val="00412C03"/>
    <w:rsid w:val="00413EDA"/>
    <w:rsid w:val="004166E0"/>
    <w:rsid w:val="0042043E"/>
    <w:rsid w:val="00424AA9"/>
    <w:rsid w:val="00426EB7"/>
    <w:rsid w:val="004279A9"/>
    <w:rsid w:val="00432C5A"/>
    <w:rsid w:val="004331D7"/>
    <w:rsid w:val="004357E8"/>
    <w:rsid w:val="00436137"/>
    <w:rsid w:val="004426BB"/>
    <w:rsid w:val="00442C97"/>
    <w:rsid w:val="00443D49"/>
    <w:rsid w:val="00443EF5"/>
    <w:rsid w:val="004468A1"/>
    <w:rsid w:val="0045113C"/>
    <w:rsid w:val="004511B1"/>
    <w:rsid w:val="00454BF7"/>
    <w:rsid w:val="00461E7C"/>
    <w:rsid w:val="00466B61"/>
    <w:rsid w:val="00471C94"/>
    <w:rsid w:val="004720ED"/>
    <w:rsid w:val="00474C82"/>
    <w:rsid w:val="004772CE"/>
    <w:rsid w:val="00477F5D"/>
    <w:rsid w:val="00482F48"/>
    <w:rsid w:val="00486A61"/>
    <w:rsid w:val="004919C2"/>
    <w:rsid w:val="00491CB4"/>
    <w:rsid w:val="0049454F"/>
    <w:rsid w:val="0049579C"/>
    <w:rsid w:val="004A1C69"/>
    <w:rsid w:val="004A21C9"/>
    <w:rsid w:val="004A332D"/>
    <w:rsid w:val="004B07B9"/>
    <w:rsid w:val="004B6EDC"/>
    <w:rsid w:val="004B71B7"/>
    <w:rsid w:val="004B7CDC"/>
    <w:rsid w:val="004C32D5"/>
    <w:rsid w:val="004D0673"/>
    <w:rsid w:val="004D2789"/>
    <w:rsid w:val="004D3BC2"/>
    <w:rsid w:val="004D487F"/>
    <w:rsid w:val="004D5144"/>
    <w:rsid w:val="004D5DB9"/>
    <w:rsid w:val="004D70A9"/>
    <w:rsid w:val="004E0065"/>
    <w:rsid w:val="004E1223"/>
    <w:rsid w:val="004E2651"/>
    <w:rsid w:val="004E2838"/>
    <w:rsid w:val="004E2A40"/>
    <w:rsid w:val="004E2C66"/>
    <w:rsid w:val="004E7F11"/>
    <w:rsid w:val="00502008"/>
    <w:rsid w:val="005025D2"/>
    <w:rsid w:val="00506EA0"/>
    <w:rsid w:val="00507708"/>
    <w:rsid w:val="005137C7"/>
    <w:rsid w:val="005143F9"/>
    <w:rsid w:val="0052256E"/>
    <w:rsid w:val="00524570"/>
    <w:rsid w:val="00530264"/>
    <w:rsid w:val="0053294F"/>
    <w:rsid w:val="0053359C"/>
    <w:rsid w:val="00533C14"/>
    <w:rsid w:val="00540E58"/>
    <w:rsid w:val="0054202C"/>
    <w:rsid w:val="0054345C"/>
    <w:rsid w:val="005446B7"/>
    <w:rsid w:val="005446DC"/>
    <w:rsid w:val="00547BEB"/>
    <w:rsid w:val="00553F1C"/>
    <w:rsid w:val="005563E9"/>
    <w:rsid w:val="00556B1E"/>
    <w:rsid w:val="00570EE7"/>
    <w:rsid w:val="00571692"/>
    <w:rsid w:val="005736FD"/>
    <w:rsid w:val="00580982"/>
    <w:rsid w:val="0058171B"/>
    <w:rsid w:val="00584CDF"/>
    <w:rsid w:val="00585834"/>
    <w:rsid w:val="00590686"/>
    <w:rsid w:val="005906A7"/>
    <w:rsid w:val="005A0213"/>
    <w:rsid w:val="005A2D71"/>
    <w:rsid w:val="005A5CA0"/>
    <w:rsid w:val="005A7457"/>
    <w:rsid w:val="005B07A0"/>
    <w:rsid w:val="005B5C16"/>
    <w:rsid w:val="005C0933"/>
    <w:rsid w:val="005C1590"/>
    <w:rsid w:val="005C27BC"/>
    <w:rsid w:val="005C364A"/>
    <w:rsid w:val="005C4275"/>
    <w:rsid w:val="005C6F65"/>
    <w:rsid w:val="005D0519"/>
    <w:rsid w:val="005D44F2"/>
    <w:rsid w:val="005D506F"/>
    <w:rsid w:val="005E03AC"/>
    <w:rsid w:val="005E25DC"/>
    <w:rsid w:val="005E6BB5"/>
    <w:rsid w:val="005F262C"/>
    <w:rsid w:val="005F570D"/>
    <w:rsid w:val="0060227E"/>
    <w:rsid w:val="00602ED0"/>
    <w:rsid w:val="0060308B"/>
    <w:rsid w:val="00603993"/>
    <w:rsid w:val="00610EDE"/>
    <w:rsid w:val="00611699"/>
    <w:rsid w:val="006134A1"/>
    <w:rsid w:val="00616E4C"/>
    <w:rsid w:val="006200A8"/>
    <w:rsid w:val="00620E89"/>
    <w:rsid w:val="00622262"/>
    <w:rsid w:val="006254CE"/>
    <w:rsid w:val="00626BC1"/>
    <w:rsid w:val="00630FAD"/>
    <w:rsid w:val="006332C3"/>
    <w:rsid w:val="0063755F"/>
    <w:rsid w:val="0064262D"/>
    <w:rsid w:val="006448E5"/>
    <w:rsid w:val="0064661F"/>
    <w:rsid w:val="0065242E"/>
    <w:rsid w:val="00652993"/>
    <w:rsid w:val="00652EC1"/>
    <w:rsid w:val="006538EA"/>
    <w:rsid w:val="00655340"/>
    <w:rsid w:val="00656945"/>
    <w:rsid w:val="00657F2E"/>
    <w:rsid w:val="006607D4"/>
    <w:rsid w:val="00666C32"/>
    <w:rsid w:val="006722CD"/>
    <w:rsid w:val="00677044"/>
    <w:rsid w:val="00677B5B"/>
    <w:rsid w:val="00680D3E"/>
    <w:rsid w:val="00683967"/>
    <w:rsid w:val="006841FB"/>
    <w:rsid w:val="0068509A"/>
    <w:rsid w:val="006867B3"/>
    <w:rsid w:val="00686E41"/>
    <w:rsid w:val="00690D5F"/>
    <w:rsid w:val="00691021"/>
    <w:rsid w:val="00693DDA"/>
    <w:rsid w:val="00694283"/>
    <w:rsid w:val="00696128"/>
    <w:rsid w:val="0069792D"/>
    <w:rsid w:val="006A2427"/>
    <w:rsid w:val="006B2C67"/>
    <w:rsid w:val="006C2BB4"/>
    <w:rsid w:val="006D4AD6"/>
    <w:rsid w:val="006E398F"/>
    <w:rsid w:val="006E6CA9"/>
    <w:rsid w:val="006E7884"/>
    <w:rsid w:val="006F0D20"/>
    <w:rsid w:val="00701569"/>
    <w:rsid w:val="00702D1B"/>
    <w:rsid w:val="0070729A"/>
    <w:rsid w:val="007126F1"/>
    <w:rsid w:val="007160B7"/>
    <w:rsid w:val="0071715B"/>
    <w:rsid w:val="00720E89"/>
    <w:rsid w:val="0072433D"/>
    <w:rsid w:val="007251CF"/>
    <w:rsid w:val="00725220"/>
    <w:rsid w:val="00725ACD"/>
    <w:rsid w:val="00725EA8"/>
    <w:rsid w:val="007270FE"/>
    <w:rsid w:val="007378D9"/>
    <w:rsid w:val="00740D98"/>
    <w:rsid w:val="007423D4"/>
    <w:rsid w:val="007430D4"/>
    <w:rsid w:val="00743CBF"/>
    <w:rsid w:val="0075064F"/>
    <w:rsid w:val="00752274"/>
    <w:rsid w:val="00752352"/>
    <w:rsid w:val="00752ABB"/>
    <w:rsid w:val="00752D5C"/>
    <w:rsid w:val="00753181"/>
    <w:rsid w:val="00753343"/>
    <w:rsid w:val="007542A7"/>
    <w:rsid w:val="00754C36"/>
    <w:rsid w:val="00757186"/>
    <w:rsid w:val="007579DD"/>
    <w:rsid w:val="00766691"/>
    <w:rsid w:val="007702A1"/>
    <w:rsid w:val="00770592"/>
    <w:rsid w:val="00772729"/>
    <w:rsid w:val="00772E04"/>
    <w:rsid w:val="0077320F"/>
    <w:rsid w:val="00775057"/>
    <w:rsid w:val="0078056B"/>
    <w:rsid w:val="00780CE5"/>
    <w:rsid w:val="00782628"/>
    <w:rsid w:val="00786367"/>
    <w:rsid w:val="00786CDD"/>
    <w:rsid w:val="00787DD7"/>
    <w:rsid w:val="00787FD4"/>
    <w:rsid w:val="00797082"/>
    <w:rsid w:val="007A6B9D"/>
    <w:rsid w:val="007B13B3"/>
    <w:rsid w:val="007B2C41"/>
    <w:rsid w:val="007B5123"/>
    <w:rsid w:val="007B65D9"/>
    <w:rsid w:val="007B7795"/>
    <w:rsid w:val="007C172C"/>
    <w:rsid w:val="007C305F"/>
    <w:rsid w:val="007C6168"/>
    <w:rsid w:val="007C7518"/>
    <w:rsid w:val="007C7534"/>
    <w:rsid w:val="007D0F44"/>
    <w:rsid w:val="007D3233"/>
    <w:rsid w:val="007D4AE2"/>
    <w:rsid w:val="007D67EF"/>
    <w:rsid w:val="007D6FB6"/>
    <w:rsid w:val="007D7646"/>
    <w:rsid w:val="007E0BE1"/>
    <w:rsid w:val="007E176F"/>
    <w:rsid w:val="007E6220"/>
    <w:rsid w:val="007F395B"/>
    <w:rsid w:val="007F3B68"/>
    <w:rsid w:val="00801CE6"/>
    <w:rsid w:val="00804556"/>
    <w:rsid w:val="00804A8F"/>
    <w:rsid w:val="00806718"/>
    <w:rsid w:val="008068F5"/>
    <w:rsid w:val="00814104"/>
    <w:rsid w:val="00814614"/>
    <w:rsid w:val="00815423"/>
    <w:rsid w:val="00815F19"/>
    <w:rsid w:val="008243A3"/>
    <w:rsid w:val="00832601"/>
    <w:rsid w:val="0083504E"/>
    <w:rsid w:val="008350CA"/>
    <w:rsid w:val="00837FE2"/>
    <w:rsid w:val="0084023D"/>
    <w:rsid w:val="008403C5"/>
    <w:rsid w:val="008419F3"/>
    <w:rsid w:val="0084350A"/>
    <w:rsid w:val="00844A41"/>
    <w:rsid w:val="0085141F"/>
    <w:rsid w:val="00854BAA"/>
    <w:rsid w:val="00855059"/>
    <w:rsid w:val="008550E4"/>
    <w:rsid w:val="00856DA7"/>
    <w:rsid w:val="00857137"/>
    <w:rsid w:val="00857E5F"/>
    <w:rsid w:val="00862EF3"/>
    <w:rsid w:val="00865727"/>
    <w:rsid w:val="0087322C"/>
    <w:rsid w:val="00874090"/>
    <w:rsid w:val="00882C3E"/>
    <w:rsid w:val="008847F9"/>
    <w:rsid w:val="00885883"/>
    <w:rsid w:val="00892534"/>
    <w:rsid w:val="00893315"/>
    <w:rsid w:val="00894006"/>
    <w:rsid w:val="00894943"/>
    <w:rsid w:val="00895495"/>
    <w:rsid w:val="008956D5"/>
    <w:rsid w:val="00895D4E"/>
    <w:rsid w:val="00896747"/>
    <w:rsid w:val="008A371B"/>
    <w:rsid w:val="008A6F5A"/>
    <w:rsid w:val="008B3855"/>
    <w:rsid w:val="008B3B32"/>
    <w:rsid w:val="008B49A2"/>
    <w:rsid w:val="008B51CE"/>
    <w:rsid w:val="008B6205"/>
    <w:rsid w:val="008C1678"/>
    <w:rsid w:val="008C24D8"/>
    <w:rsid w:val="008C2669"/>
    <w:rsid w:val="008C3D19"/>
    <w:rsid w:val="008C6210"/>
    <w:rsid w:val="008C6E52"/>
    <w:rsid w:val="008C7D9E"/>
    <w:rsid w:val="008D100C"/>
    <w:rsid w:val="008D1824"/>
    <w:rsid w:val="008D3A52"/>
    <w:rsid w:val="008D3FF9"/>
    <w:rsid w:val="008D4A78"/>
    <w:rsid w:val="008D66C0"/>
    <w:rsid w:val="008D7F1D"/>
    <w:rsid w:val="008E2E98"/>
    <w:rsid w:val="008E33C3"/>
    <w:rsid w:val="008E57A1"/>
    <w:rsid w:val="008F1FA7"/>
    <w:rsid w:val="008F28CF"/>
    <w:rsid w:val="008F5031"/>
    <w:rsid w:val="008F5B78"/>
    <w:rsid w:val="00901136"/>
    <w:rsid w:val="009015FB"/>
    <w:rsid w:val="009024DA"/>
    <w:rsid w:val="0090308E"/>
    <w:rsid w:val="00905B4E"/>
    <w:rsid w:val="00911BCA"/>
    <w:rsid w:val="009142F4"/>
    <w:rsid w:val="009146BA"/>
    <w:rsid w:val="00915ED5"/>
    <w:rsid w:val="00917005"/>
    <w:rsid w:val="00921FBE"/>
    <w:rsid w:val="00930205"/>
    <w:rsid w:val="0093044D"/>
    <w:rsid w:val="00932145"/>
    <w:rsid w:val="00932204"/>
    <w:rsid w:val="00934170"/>
    <w:rsid w:val="00935729"/>
    <w:rsid w:val="00935E36"/>
    <w:rsid w:val="00935EF5"/>
    <w:rsid w:val="0093624B"/>
    <w:rsid w:val="0093679D"/>
    <w:rsid w:val="009526BB"/>
    <w:rsid w:val="00957E30"/>
    <w:rsid w:val="00962078"/>
    <w:rsid w:val="00962545"/>
    <w:rsid w:val="00967816"/>
    <w:rsid w:val="009711F1"/>
    <w:rsid w:val="00974806"/>
    <w:rsid w:val="00977352"/>
    <w:rsid w:val="0097772D"/>
    <w:rsid w:val="00980B53"/>
    <w:rsid w:val="009828F5"/>
    <w:rsid w:val="00985042"/>
    <w:rsid w:val="00986546"/>
    <w:rsid w:val="00991FDB"/>
    <w:rsid w:val="009922FC"/>
    <w:rsid w:val="009A0ACD"/>
    <w:rsid w:val="009A1B83"/>
    <w:rsid w:val="009A1BA0"/>
    <w:rsid w:val="009A24ED"/>
    <w:rsid w:val="009B4B63"/>
    <w:rsid w:val="009B668D"/>
    <w:rsid w:val="009B6FA0"/>
    <w:rsid w:val="009C087A"/>
    <w:rsid w:val="009C1AF4"/>
    <w:rsid w:val="009C46F3"/>
    <w:rsid w:val="009C4FBA"/>
    <w:rsid w:val="009C504C"/>
    <w:rsid w:val="009C5858"/>
    <w:rsid w:val="009C7DAE"/>
    <w:rsid w:val="009D202C"/>
    <w:rsid w:val="009D4CFA"/>
    <w:rsid w:val="009D61D9"/>
    <w:rsid w:val="009E2E7C"/>
    <w:rsid w:val="009E3ECB"/>
    <w:rsid w:val="009F18CF"/>
    <w:rsid w:val="009F79DE"/>
    <w:rsid w:val="00A013E0"/>
    <w:rsid w:val="00A05F5D"/>
    <w:rsid w:val="00A068CF"/>
    <w:rsid w:val="00A116E6"/>
    <w:rsid w:val="00A129A0"/>
    <w:rsid w:val="00A145FA"/>
    <w:rsid w:val="00A30D74"/>
    <w:rsid w:val="00A32875"/>
    <w:rsid w:val="00A328C1"/>
    <w:rsid w:val="00A334C3"/>
    <w:rsid w:val="00A34540"/>
    <w:rsid w:val="00A42915"/>
    <w:rsid w:val="00A4648D"/>
    <w:rsid w:val="00A5451E"/>
    <w:rsid w:val="00A55EAC"/>
    <w:rsid w:val="00A6013A"/>
    <w:rsid w:val="00A61644"/>
    <w:rsid w:val="00A62E3D"/>
    <w:rsid w:val="00A63AAF"/>
    <w:rsid w:val="00A64ED4"/>
    <w:rsid w:val="00A6615C"/>
    <w:rsid w:val="00A70678"/>
    <w:rsid w:val="00A7124E"/>
    <w:rsid w:val="00A71383"/>
    <w:rsid w:val="00A75EFD"/>
    <w:rsid w:val="00A827FA"/>
    <w:rsid w:val="00A8388A"/>
    <w:rsid w:val="00A83D2D"/>
    <w:rsid w:val="00A847BF"/>
    <w:rsid w:val="00A9053A"/>
    <w:rsid w:val="00A93942"/>
    <w:rsid w:val="00A93B29"/>
    <w:rsid w:val="00A97E57"/>
    <w:rsid w:val="00A97FA1"/>
    <w:rsid w:val="00AA2C0A"/>
    <w:rsid w:val="00AA6C9A"/>
    <w:rsid w:val="00AA7CFE"/>
    <w:rsid w:val="00AB16A9"/>
    <w:rsid w:val="00AB28D9"/>
    <w:rsid w:val="00AB4B97"/>
    <w:rsid w:val="00AB551B"/>
    <w:rsid w:val="00AB5E17"/>
    <w:rsid w:val="00AC3576"/>
    <w:rsid w:val="00AC47CB"/>
    <w:rsid w:val="00AC7BDC"/>
    <w:rsid w:val="00AD432D"/>
    <w:rsid w:val="00AD4AAB"/>
    <w:rsid w:val="00AD6C46"/>
    <w:rsid w:val="00AD7A39"/>
    <w:rsid w:val="00AE7233"/>
    <w:rsid w:val="00AF12A1"/>
    <w:rsid w:val="00AF1EBD"/>
    <w:rsid w:val="00AF40F5"/>
    <w:rsid w:val="00AF4FAE"/>
    <w:rsid w:val="00AF5452"/>
    <w:rsid w:val="00AF551F"/>
    <w:rsid w:val="00B003E6"/>
    <w:rsid w:val="00B00827"/>
    <w:rsid w:val="00B02BC9"/>
    <w:rsid w:val="00B048F0"/>
    <w:rsid w:val="00B07AF7"/>
    <w:rsid w:val="00B10E18"/>
    <w:rsid w:val="00B152AE"/>
    <w:rsid w:val="00B175C4"/>
    <w:rsid w:val="00B23835"/>
    <w:rsid w:val="00B23B2F"/>
    <w:rsid w:val="00B34C16"/>
    <w:rsid w:val="00B40476"/>
    <w:rsid w:val="00B4083A"/>
    <w:rsid w:val="00B413B2"/>
    <w:rsid w:val="00B41725"/>
    <w:rsid w:val="00B43233"/>
    <w:rsid w:val="00B4380D"/>
    <w:rsid w:val="00B50C38"/>
    <w:rsid w:val="00B55BC7"/>
    <w:rsid w:val="00B55D55"/>
    <w:rsid w:val="00B56257"/>
    <w:rsid w:val="00B60A5C"/>
    <w:rsid w:val="00B6148B"/>
    <w:rsid w:val="00B639CE"/>
    <w:rsid w:val="00B67427"/>
    <w:rsid w:val="00B70BFB"/>
    <w:rsid w:val="00B70E35"/>
    <w:rsid w:val="00B712C6"/>
    <w:rsid w:val="00B72E37"/>
    <w:rsid w:val="00B73A95"/>
    <w:rsid w:val="00B74756"/>
    <w:rsid w:val="00B759ED"/>
    <w:rsid w:val="00B77344"/>
    <w:rsid w:val="00B81915"/>
    <w:rsid w:val="00B82386"/>
    <w:rsid w:val="00B85629"/>
    <w:rsid w:val="00B864C4"/>
    <w:rsid w:val="00B92965"/>
    <w:rsid w:val="00B96047"/>
    <w:rsid w:val="00B96D76"/>
    <w:rsid w:val="00BA3CFC"/>
    <w:rsid w:val="00BA6043"/>
    <w:rsid w:val="00BB2D0C"/>
    <w:rsid w:val="00BB4090"/>
    <w:rsid w:val="00BB7D28"/>
    <w:rsid w:val="00BC1AAD"/>
    <w:rsid w:val="00BC34F8"/>
    <w:rsid w:val="00BC4015"/>
    <w:rsid w:val="00BC5D88"/>
    <w:rsid w:val="00BD60C6"/>
    <w:rsid w:val="00BE1EE3"/>
    <w:rsid w:val="00BE47C7"/>
    <w:rsid w:val="00BE625F"/>
    <w:rsid w:val="00BF17C0"/>
    <w:rsid w:val="00BF327D"/>
    <w:rsid w:val="00C0015E"/>
    <w:rsid w:val="00C01070"/>
    <w:rsid w:val="00C023F5"/>
    <w:rsid w:val="00C032E8"/>
    <w:rsid w:val="00C06CCD"/>
    <w:rsid w:val="00C1505C"/>
    <w:rsid w:val="00C15E8D"/>
    <w:rsid w:val="00C16F1D"/>
    <w:rsid w:val="00C200CD"/>
    <w:rsid w:val="00C2282E"/>
    <w:rsid w:val="00C27D62"/>
    <w:rsid w:val="00C31B18"/>
    <w:rsid w:val="00C327FE"/>
    <w:rsid w:val="00C3351A"/>
    <w:rsid w:val="00C35A69"/>
    <w:rsid w:val="00C363CE"/>
    <w:rsid w:val="00C4003D"/>
    <w:rsid w:val="00C40C92"/>
    <w:rsid w:val="00C4166C"/>
    <w:rsid w:val="00C47938"/>
    <w:rsid w:val="00C5407C"/>
    <w:rsid w:val="00C54B55"/>
    <w:rsid w:val="00C5592C"/>
    <w:rsid w:val="00C56F66"/>
    <w:rsid w:val="00C62F38"/>
    <w:rsid w:val="00C6381E"/>
    <w:rsid w:val="00C71EEC"/>
    <w:rsid w:val="00C74969"/>
    <w:rsid w:val="00C749EC"/>
    <w:rsid w:val="00C75359"/>
    <w:rsid w:val="00C8470D"/>
    <w:rsid w:val="00C849D8"/>
    <w:rsid w:val="00C94914"/>
    <w:rsid w:val="00C95AEE"/>
    <w:rsid w:val="00C97753"/>
    <w:rsid w:val="00CA10CE"/>
    <w:rsid w:val="00CA2603"/>
    <w:rsid w:val="00CA2C65"/>
    <w:rsid w:val="00CA78DD"/>
    <w:rsid w:val="00CB14A9"/>
    <w:rsid w:val="00CB4147"/>
    <w:rsid w:val="00CB431E"/>
    <w:rsid w:val="00CB5733"/>
    <w:rsid w:val="00CC4454"/>
    <w:rsid w:val="00CC55B0"/>
    <w:rsid w:val="00CD5D83"/>
    <w:rsid w:val="00CD7FCC"/>
    <w:rsid w:val="00CE3F1F"/>
    <w:rsid w:val="00CE5A0D"/>
    <w:rsid w:val="00CE7BF6"/>
    <w:rsid w:val="00CF24EC"/>
    <w:rsid w:val="00CF6ACF"/>
    <w:rsid w:val="00CF6DED"/>
    <w:rsid w:val="00CF7CCC"/>
    <w:rsid w:val="00D00BCA"/>
    <w:rsid w:val="00D1301F"/>
    <w:rsid w:val="00D13F14"/>
    <w:rsid w:val="00D15F9E"/>
    <w:rsid w:val="00D22D20"/>
    <w:rsid w:val="00D333FB"/>
    <w:rsid w:val="00D3476A"/>
    <w:rsid w:val="00D37E57"/>
    <w:rsid w:val="00D423D2"/>
    <w:rsid w:val="00D436CF"/>
    <w:rsid w:val="00D52AF7"/>
    <w:rsid w:val="00D534A0"/>
    <w:rsid w:val="00D54535"/>
    <w:rsid w:val="00D545A2"/>
    <w:rsid w:val="00D632B3"/>
    <w:rsid w:val="00D65F51"/>
    <w:rsid w:val="00D66234"/>
    <w:rsid w:val="00D72A02"/>
    <w:rsid w:val="00D737A3"/>
    <w:rsid w:val="00D74880"/>
    <w:rsid w:val="00D74CE7"/>
    <w:rsid w:val="00D804ED"/>
    <w:rsid w:val="00D82B51"/>
    <w:rsid w:val="00D85526"/>
    <w:rsid w:val="00D87F52"/>
    <w:rsid w:val="00D9195C"/>
    <w:rsid w:val="00D93C9E"/>
    <w:rsid w:val="00D9670D"/>
    <w:rsid w:val="00DA6E96"/>
    <w:rsid w:val="00DB45EB"/>
    <w:rsid w:val="00DB6D35"/>
    <w:rsid w:val="00DB7318"/>
    <w:rsid w:val="00DD16ED"/>
    <w:rsid w:val="00DD4207"/>
    <w:rsid w:val="00DD5F32"/>
    <w:rsid w:val="00DE2170"/>
    <w:rsid w:val="00DE618C"/>
    <w:rsid w:val="00DE6A4A"/>
    <w:rsid w:val="00DF0F80"/>
    <w:rsid w:val="00DF1B57"/>
    <w:rsid w:val="00E004A6"/>
    <w:rsid w:val="00E03AD0"/>
    <w:rsid w:val="00E12386"/>
    <w:rsid w:val="00E1493E"/>
    <w:rsid w:val="00E17379"/>
    <w:rsid w:val="00E17A24"/>
    <w:rsid w:val="00E20CAA"/>
    <w:rsid w:val="00E229A3"/>
    <w:rsid w:val="00E230C8"/>
    <w:rsid w:val="00E2381A"/>
    <w:rsid w:val="00E272F0"/>
    <w:rsid w:val="00E27783"/>
    <w:rsid w:val="00E30269"/>
    <w:rsid w:val="00E31A54"/>
    <w:rsid w:val="00E321A7"/>
    <w:rsid w:val="00E33B9A"/>
    <w:rsid w:val="00E33D32"/>
    <w:rsid w:val="00E36EB5"/>
    <w:rsid w:val="00E541EE"/>
    <w:rsid w:val="00E54DC8"/>
    <w:rsid w:val="00E61135"/>
    <w:rsid w:val="00E665EF"/>
    <w:rsid w:val="00E703B5"/>
    <w:rsid w:val="00E74512"/>
    <w:rsid w:val="00E75771"/>
    <w:rsid w:val="00E75C89"/>
    <w:rsid w:val="00E81D10"/>
    <w:rsid w:val="00E82A85"/>
    <w:rsid w:val="00E855F7"/>
    <w:rsid w:val="00E85931"/>
    <w:rsid w:val="00E85CD5"/>
    <w:rsid w:val="00E873A4"/>
    <w:rsid w:val="00E9256B"/>
    <w:rsid w:val="00EA0C5C"/>
    <w:rsid w:val="00EA1768"/>
    <w:rsid w:val="00EA1B06"/>
    <w:rsid w:val="00EA1FB0"/>
    <w:rsid w:val="00EA392B"/>
    <w:rsid w:val="00EB18B5"/>
    <w:rsid w:val="00EB4A4A"/>
    <w:rsid w:val="00EB4B2A"/>
    <w:rsid w:val="00EB4FCF"/>
    <w:rsid w:val="00EB61F0"/>
    <w:rsid w:val="00EC2E66"/>
    <w:rsid w:val="00EC41CE"/>
    <w:rsid w:val="00EC4AEC"/>
    <w:rsid w:val="00ED052F"/>
    <w:rsid w:val="00ED1037"/>
    <w:rsid w:val="00ED2264"/>
    <w:rsid w:val="00ED4028"/>
    <w:rsid w:val="00EE2D7D"/>
    <w:rsid w:val="00EE647F"/>
    <w:rsid w:val="00EE714E"/>
    <w:rsid w:val="00EF0E7B"/>
    <w:rsid w:val="00EF30F4"/>
    <w:rsid w:val="00EF626A"/>
    <w:rsid w:val="00F036A3"/>
    <w:rsid w:val="00F038D5"/>
    <w:rsid w:val="00F06A43"/>
    <w:rsid w:val="00F10CA3"/>
    <w:rsid w:val="00F10D55"/>
    <w:rsid w:val="00F123F3"/>
    <w:rsid w:val="00F12A5B"/>
    <w:rsid w:val="00F15B07"/>
    <w:rsid w:val="00F22C94"/>
    <w:rsid w:val="00F23EC5"/>
    <w:rsid w:val="00F257C5"/>
    <w:rsid w:val="00F2684C"/>
    <w:rsid w:val="00F33D3B"/>
    <w:rsid w:val="00F33D46"/>
    <w:rsid w:val="00F35955"/>
    <w:rsid w:val="00F46811"/>
    <w:rsid w:val="00F5147E"/>
    <w:rsid w:val="00F52BC6"/>
    <w:rsid w:val="00F52BCA"/>
    <w:rsid w:val="00F55EC4"/>
    <w:rsid w:val="00F57765"/>
    <w:rsid w:val="00F60235"/>
    <w:rsid w:val="00F6106F"/>
    <w:rsid w:val="00F640FC"/>
    <w:rsid w:val="00F6683B"/>
    <w:rsid w:val="00F81C28"/>
    <w:rsid w:val="00F83C4B"/>
    <w:rsid w:val="00F840DD"/>
    <w:rsid w:val="00F84BC3"/>
    <w:rsid w:val="00F9100F"/>
    <w:rsid w:val="00F9248B"/>
    <w:rsid w:val="00F944C7"/>
    <w:rsid w:val="00FA385A"/>
    <w:rsid w:val="00FA38D6"/>
    <w:rsid w:val="00FB1A12"/>
    <w:rsid w:val="00FB27E2"/>
    <w:rsid w:val="00FB3BA1"/>
    <w:rsid w:val="00FB757C"/>
    <w:rsid w:val="00FC0039"/>
    <w:rsid w:val="00FC7666"/>
    <w:rsid w:val="00FD03E7"/>
    <w:rsid w:val="00FD4D1A"/>
    <w:rsid w:val="00FD4F91"/>
    <w:rsid w:val="00FD7745"/>
    <w:rsid w:val="00FD7B5C"/>
    <w:rsid w:val="00FD7B95"/>
    <w:rsid w:val="00FE125B"/>
    <w:rsid w:val="00FE15DD"/>
    <w:rsid w:val="00FE25A6"/>
    <w:rsid w:val="00FE35DA"/>
    <w:rsid w:val="00FE4165"/>
    <w:rsid w:val="00FE47A5"/>
    <w:rsid w:val="00FE4AB6"/>
    <w:rsid w:val="00FE564C"/>
    <w:rsid w:val="00FE5EE3"/>
    <w:rsid w:val="00FE669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AC7988"/>
  <w15:docId w15:val="{B1DB8C9C-3EC8-4D62-BBCB-7962A46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바탕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uiPriority w:val="99"/>
    <w:rsid w:val="009024DA"/>
  </w:style>
  <w:style w:type="paragraph" w:styleId="a4">
    <w:name w:val="footer"/>
    <w:basedOn w:val="a"/>
    <w:link w:val="Char0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4"/>
    <w:uiPriority w:val="99"/>
    <w:rsid w:val="009024DA"/>
  </w:style>
  <w:style w:type="table" w:styleId="a5">
    <w:name w:val="Table Grid"/>
    <w:basedOn w:val="a1"/>
    <w:uiPriority w:val="59"/>
    <w:rsid w:val="00A4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42915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paragraph" w:styleId="a7">
    <w:name w:val="List Paragraph"/>
    <w:basedOn w:val="a"/>
    <w:link w:val="Char1"/>
    <w:uiPriority w:val="34"/>
    <w:qFormat/>
    <w:rsid w:val="000E6EC2"/>
    <w:pPr>
      <w:ind w:leftChars="400" w:left="800"/>
    </w:pPr>
  </w:style>
  <w:style w:type="paragraph" w:styleId="a8">
    <w:name w:val="Balloon Text"/>
    <w:basedOn w:val="a"/>
    <w:link w:val="Char2"/>
    <w:uiPriority w:val="99"/>
    <w:semiHidden/>
    <w:unhideWhenUsed/>
    <w:rsid w:val="0003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360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Char3"/>
    <w:uiPriority w:val="1"/>
    <w:qFormat/>
    <w:rsid w:val="002535E2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  <w:lang w:eastAsia="ko-KR"/>
    </w:rPr>
  </w:style>
  <w:style w:type="character" w:customStyle="1" w:styleId="Char3">
    <w:name w:val="간격 없음 Char"/>
    <w:basedOn w:val="a0"/>
    <w:link w:val="a9"/>
    <w:uiPriority w:val="1"/>
    <w:rsid w:val="00263A7A"/>
    <w:rPr>
      <w:rFonts w:ascii="맑은 고딕" w:eastAsia="맑은 고딕" w:hAnsi="맑은 고딕"/>
      <w:kern w:val="2"/>
      <w:szCs w:val="22"/>
      <w:lang w:eastAsia="ko-KR"/>
    </w:rPr>
  </w:style>
  <w:style w:type="character" w:customStyle="1" w:styleId="Char1">
    <w:name w:val="목록 단락 Char"/>
    <w:link w:val="a7"/>
    <w:uiPriority w:val="34"/>
    <w:rsid w:val="004D3BC2"/>
    <w:rPr>
      <w:sz w:val="24"/>
      <w:szCs w:val="24"/>
    </w:rPr>
  </w:style>
  <w:style w:type="paragraph" w:customStyle="1" w:styleId="Default">
    <w:name w:val="Default"/>
    <w:rsid w:val="00E85931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5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8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4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9">
      <a:majorFont>
        <a:latin typeface="KoPub돋움체_Pro Bold"/>
        <a:ea typeface="KoPub돋움체_Pro Bold"/>
        <a:cs typeface=""/>
      </a:majorFont>
      <a:minorFont>
        <a:latin typeface="KoPub돋움체_Pro Medium"/>
        <a:ea typeface="KoPub돋움체_Pro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문서</p:Name>
  <p:Description/>
  <p:Statement/>
  <p:PolicyItems>
    <p:PolicyItem featureId="Microsoft.Office.RecordsManagement.PolicyFeatures.PolicyAudit" staticId="0x01010045D9FB21AE1E034094DC11B49A027E69|8138272" UniqueId="475fba8d-a474-40a2-8e66-ab49a78fa0e8">
      <p:Name>감사</p:Name>
      <p:Description>문서 및 목록 항목에 대한 사용자 작업을 감사하여 감사 로그에 기록합니다.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9FB21AE1E034094DC11B49A027E69" ma:contentTypeVersion="5" ma:contentTypeDescription="Create a new document." ma:contentTypeScope="" ma:versionID="f09a331b2e1262415de89e01af2eae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B085F-1751-40BA-8E7B-5FF77C520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4A523-D89F-4EF9-A91C-E9C19B9F4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7DA20-D2B1-43E0-B2DB-C875F1CA7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56716-E46D-4B2B-84FE-8FB9CDCF96B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A6D22D0-5821-4474-82AC-C0E17089F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66d8de-a423-4c2e-b2dc-846f22c52444}" enabled="1" method="Standard" siteId="{60ed981f-ef6e-4603-9f81-ed6b347131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Shin, Yumin (신유민)</cp:lastModifiedBy>
  <cp:revision>7</cp:revision>
  <cp:lastPrinted>2021-01-18T08:48:00Z</cp:lastPrinted>
  <dcterms:created xsi:type="dcterms:W3CDTF">2021-05-04T01:29:00Z</dcterms:created>
  <dcterms:modified xsi:type="dcterms:W3CDTF">2025-09-22T06:17:00Z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0x01010045D9FB21AE1E034094DC11B49A027E69</vt:lpwstr>
  </property>
</Properties>
</file>